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25D9D" w:rsidRDefault="00825D9D" w:rsidP="00A1593C">
      <w:pPr>
        <w:pStyle w:val="Default"/>
        <w:jc w:val="center"/>
        <w:rPr>
          <w:b/>
          <w:bCs/>
          <w:sz w:val="32"/>
          <w:szCs w:val="32"/>
        </w:rPr>
      </w:pPr>
    </w:p>
    <w:p w14:paraId="600C8271" w14:textId="77777777" w:rsidR="005430D7" w:rsidRDefault="005430D7" w:rsidP="00825D9D">
      <w:pPr>
        <w:pStyle w:val="Default"/>
        <w:ind w:left="1440" w:firstLine="720"/>
        <w:rPr>
          <w:b/>
          <w:bCs/>
          <w:sz w:val="32"/>
          <w:szCs w:val="32"/>
        </w:rPr>
      </w:pPr>
      <w:r>
        <w:rPr>
          <w:b/>
          <w:bCs/>
          <w:sz w:val="32"/>
          <w:szCs w:val="32"/>
        </w:rPr>
        <w:t>Critical Illness Application Form</w:t>
      </w:r>
    </w:p>
    <w:p w14:paraId="0A37501D" w14:textId="77777777" w:rsidR="005430D7" w:rsidRPr="003D74B2" w:rsidRDefault="005430D7" w:rsidP="005430D7">
      <w:pPr>
        <w:pStyle w:val="Default"/>
        <w:rPr>
          <w:b/>
          <w:bCs/>
          <w:sz w:val="20"/>
          <w:szCs w:val="20"/>
        </w:rPr>
      </w:pPr>
    </w:p>
    <w:p w14:paraId="51ACD441" w14:textId="77777777" w:rsidR="005430D7" w:rsidRDefault="0011498F" w:rsidP="0011498F">
      <w:pPr>
        <w:pStyle w:val="Default"/>
        <w:jc w:val="center"/>
        <w:rPr>
          <w:b/>
          <w:bCs/>
          <w:sz w:val="23"/>
          <w:szCs w:val="23"/>
        </w:rPr>
      </w:pPr>
      <w:r w:rsidRPr="0011498F">
        <w:rPr>
          <w:noProof/>
          <w:sz w:val="20"/>
          <w:szCs w:val="20"/>
          <w:lang w:val="en-IE" w:eastAsia="ja-JP"/>
        </w:rPr>
        <mc:AlternateContent>
          <mc:Choice Requires="wps">
            <w:drawing>
              <wp:anchor distT="45720" distB="45720" distL="114300" distR="114300" simplePos="0" relativeHeight="251659264" behindDoc="0" locked="0" layoutInCell="1" allowOverlap="1" wp14:anchorId="49B03D8B" wp14:editId="73F3B32E">
                <wp:simplePos x="0" y="0"/>
                <wp:positionH relativeFrom="margin">
                  <wp:posOffset>-19050</wp:posOffset>
                </wp:positionH>
                <wp:positionV relativeFrom="paragraph">
                  <wp:posOffset>429895</wp:posOffset>
                </wp:positionV>
                <wp:extent cx="6029325" cy="2657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657475"/>
                        </a:xfrm>
                        <a:prstGeom prst="rect">
                          <a:avLst/>
                        </a:prstGeom>
                        <a:solidFill>
                          <a:schemeClr val="bg2"/>
                        </a:solidFill>
                        <a:ln w="9525">
                          <a:solidFill>
                            <a:srgbClr val="000000"/>
                          </a:solidFill>
                          <a:miter lim="800000"/>
                          <a:headEnd/>
                          <a:tailEnd/>
                        </a:ln>
                      </wps:spPr>
                      <wps:txbx>
                        <w:txbxContent>
                          <w:p w14:paraId="12D4820D" w14:textId="77777777" w:rsidR="0011498F" w:rsidRPr="0033774A" w:rsidRDefault="0011498F" w:rsidP="00F86C32">
                            <w:pPr>
                              <w:pStyle w:val="Default"/>
                              <w:shd w:val="clear" w:color="auto" w:fill="E7E6E6" w:themeFill="background2"/>
                              <w:rPr>
                                <w:sz w:val="19"/>
                                <w:szCs w:val="19"/>
                              </w:rPr>
                            </w:pPr>
                            <w:r w:rsidRPr="0033774A">
                              <w:rPr>
                                <w:sz w:val="19"/>
                                <w:szCs w:val="19"/>
                              </w:rPr>
                              <w:t xml:space="preserve">The Critical Illness Protocol (attached) must be read in full prior to submitting this form. </w:t>
                            </w:r>
                          </w:p>
                          <w:p w14:paraId="4DDA8BAE" w14:textId="77777777" w:rsidR="0011498F" w:rsidRPr="0033774A" w:rsidRDefault="0011498F" w:rsidP="00F86C32">
                            <w:pPr>
                              <w:pStyle w:val="Default"/>
                              <w:shd w:val="clear" w:color="auto" w:fill="E7E6E6" w:themeFill="background2"/>
                              <w:rPr>
                                <w:sz w:val="19"/>
                                <w:szCs w:val="19"/>
                              </w:rPr>
                            </w:pPr>
                            <w:r w:rsidRPr="0033774A">
                              <w:rPr>
                                <w:sz w:val="19"/>
                                <w:szCs w:val="19"/>
                              </w:rPr>
                              <w:t xml:space="preserve">The Protocol provides full details on the criteria required for access to extended sick leave for Critical Illness Provisions (CIP). Employees must submit this application form for CIP to the HR, Compensation &amp; Benefits Manager. </w:t>
                            </w:r>
                          </w:p>
                          <w:p w14:paraId="0892DAE3" w14:textId="4F0E0225" w:rsidR="0011498F" w:rsidRPr="0033774A" w:rsidRDefault="0011498F" w:rsidP="00F86C32">
                            <w:pPr>
                              <w:pStyle w:val="Default"/>
                              <w:shd w:val="clear" w:color="auto" w:fill="E7E6E6" w:themeFill="background2"/>
                              <w:rPr>
                                <w:sz w:val="19"/>
                                <w:szCs w:val="19"/>
                              </w:rPr>
                            </w:pPr>
                            <w:r w:rsidRPr="0033774A">
                              <w:rPr>
                                <w:sz w:val="19"/>
                                <w:szCs w:val="19"/>
                              </w:rPr>
                              <w:t xml:space="preserve">HR will refer the employee to </w:t>
                            </w:r>
                            <w:proofErr w:type="spellStart"/>
                            <w:r w:rsidR="001B1D67">
                              <w:rPr>
                                <w:sz w:val="19"/>
                                <w:szCs w:val="19"/>
                              </w:rPr>
                              <w:t>Medmark</w:t>
                            </w:r>
                            <w:proofErr w:type="spellEnd"/>
                            <w:r w:rsidR="001B1D67">
                              <w:rPr>
                                <w:sz w:val="19"/>
                                <w:szCs w:val="19"/>
                              </w:rPr>
                              <w:t xml:space="preserve"> Occupational Health Advisors</w:t>
                            </w:r>
                            <w:r w:rsidRPr="0033774A">
                              <w:rPr>
                                <w:sz w:val="19"/>
                                <w:szCs w:val="19"/>
                              </w:rPr>
                              <w:t xml:space="preserve"> immediately. </w:t>
                            </w:r>
                          </w:p>
                          <w:p w14:paraId="1CAE391A" w14:textId="67753169" w:rsidR="0011498F" w:rsidRPr="0033774A" w:rsidRDefault="001B1D67" w:rsidP="00F86C32">
                            <w:pPr>
                              <w:pStyle w:val="Default"/>
                              <w:shd w:val="clear" w:color="auto" w:fill="E7E6E6" w:themeFill="background2"/>
                              <w:rPr>
                                <w:sz w:val="19"/>
                                <w:szCs w:val="19"/>
                              </w:rPr>
                            </w:pPr>
                            <w:proofErr w:type="spellStart"/>
                            <w:r>
                              <w:rPr>
                                <w:sz w:val="19"/>
                                <w:szCs w:val="19"/>
                              </w:rPr>
                              <w:t>Medmark</w:t>
                            </w:r>
                            <w:proofErr w:type="spellEnd"/>
                            <w:r w:rsidR="0011498F" w:rsidRPr="0033774A">
                              <w:rPr>
                                <w:sz w:val="19"/>
                                <w:szCs w:val="19"/>
                              </w:rPr>
                              <w:t xml:space="preserve"> will provide advice to HR as to whether the employee meets the following criteria for CIP:</w:t>
                            </w:r>
                          </w:p>
                          <w:p w14:paraId="069519B7" w14:textId="77777777" w:rsidR="0011498F" w:rsidRPr="0033774A" w:rsidRDefault="0011498F" w:rsidP="00F86C32">
                            <w:pPr>
                              <w:pStyle w:val="Default"/>
                              <w:shd w:val="clear" w:color="auto" w:fill="E7E6E6" w:themeFill="background2"/>
                              <w:rPr>
                                <w:sz w:val="19"/>
                                <w:szCs w:val="19"/>
                              </w:rPr>
                            </w:pPr>
                            <w:r w:rsidRPr="0033774A">
                              <w:rPr>
                                <w:sz w:val="19"/>
                                <w:szCs w:val="19"/>
                              </w:rPr>
                              <w:t xml:space="preserve">The employee must be medically unfit to return to his/her current duties and the nature of their medical condition must have at least one of the following characteristics: </w:t>
                            </w:r>
                          </w:p>
                          <w:p w14:paraId="65821ACE" w14:textId="77777777" w:rsidR="0011498F" w:rsidRPr="0033774A" w:rsidRDefault="0011498F" w:rsidP="00F86C32">
                            <w:pPr>
                              <w:pStyle w:val="Default"/>
                              <w:shd w:val="clear" w:color="auto" w:fill="E7E6E6" w:themeFill="background2"/>
                              <w:rPr>
                                <w:b/>
                                <w:sz w:val="19"/>
                                <w:szCs w:val="19"/>
                              </w:rPr>
                            </w:pPr>
                            <w:r w:rsidRPr="0033774A">
                              <w:rPr>
                                <w:b/>
                                <w:sz w:val="19"/>
                                <w:szCs w:val="19"/>
                              </w:rPr>
                              <w:t>(</w:t>
                            </w:r>
                            <w:bookmarkStart w:id="0" w:name="OLE_LINK4"/>
                            <w:r w:rsidRPr="0033774A">
                              <w:rPr>
                                <w:b/>
                                <w:sz w:val="19"/>
                                <w:szCs w:val="19"/>
                              </w:rPr>
                              <w:t xml:space="preserve">a) Acute </w:t>
                            </w:r>
                            <w:proofErr w:type="gramStart"/>
                            <w:r w:rsidRPr="0033774A">
                              <w:rPr>
                                <w:b/>
                                <w:sz w:val="19"/>
                                <w:szCs w:val="19"/>
                              </w:rPr>
                              <w:t>life threatening</w:t>
                            </w:r>
                            <w:proofErr w:type="gramEnd"/>
                            <w:r w:rsidRPr="0033774A">
                              <w:rPr>
                                <w:b/>
                                <w:sz w:val="19"/>
                                <w:szCs w:val="19"/>
                              </w:rPr>
                              <w:t xml:space="preserve"> physical illness </w:t>
                            </w:r>
                          </w:p>
                          <w:p w14:paraId="3460EFA7" w14:textId="77777777" w:rsidR="0011498F" w:rsidRPr="0033774A" w:rsidRDefault="0011498F" w:rsidP="00F86C32">
                            <w:pPr>
                              <w:pStyle w:val="Default"/>
                              <w:shd w:val="clear" w:color="auto" w:fill="E7E6E6" w:themeFill="background2"/>
                              <w:rPr>
                                <w:b/>
                                <w:sz w:val="19"/>
                                <w:szCs w:val="19"/>
                              </w:rPr>
                            </w:pPr>
                            <w:r w:rsidRPr="0033774A">
                              <w:rPr>
                                <w:b/>
                                <w:sz w:val="19"/>
                                <w:szCs w:val="19"/>
                              </w:rPr>
                              <w:t xml:space="preserve">(b) Chronic progressive illness, with well-established potential to reduce life expectancy </w:t>
                            </w:r>
                          </w:p>
                          <w:p w14:paraId="30C31FD6" w14:textId="77777777" w:rsidR="0011498F" w:rsidRPr="0033774A" w:rsidRDefault="0011498F" w:rsidP="00F86C32">
                            <w:pPr>
                              <w:pStyle w:val="Default"/>
                              <w:shd w:val="clear" w:color="auto" w:fill="E7E6E6" w:themeFill="background2"/>
                              <w:rPr>
                                <w:b/>
                                <w:sz w:val="19"/>
                                <w:szCs w:val="19"/>
                              </w:rPr>
                            </w:pPr>
                            <w:r w:rsidRPr="0033774A">
                              <w:rPr>
                                <w:b/>
                                <w:sz w:val="19"/>
                                <w:szCs w:val="19"/>
                              </w:rPr>
                              <w:t xml:space="preserve">(c) Major physical trauma ordinarily requiring corrective acute operative surgical treatment </w:t>
                            </w:r>
                          </w:p>
                          <w:p w14:paraId="67C088B6" w14:textId="77777777" w:rsidR="0011498F" w:rsidRPr="0033774A" w:rsidRDefault="0011498F" w:rsidP="00F86C32">
                            <w:pPr>
                              <w:pStyle w:val="Default"/>
                              <w:shd w:val="clear" w:color="auto" w:fill="E7E6E6" w:themeFill="background2"/>
                              <w:rPr>
                                <w:b/>
                                <w:sz w:val="19"/>
                                <w:szCs w:val="19"/>
                              </w:rPr>
                            </w:pPr>
                            <w:r w:rsidRPr="0033774A">
                              <w:rPr>
                                <w:b/>
                                <w:sz w:val="19"/>
                                <w:szCs w:val="19"/>
                              </w:rPr>
                              <w:t>(d) In-patient or day hospital care of ten consecutive days or greater</w:t>
                            </w:r>
                            <w:bookmarkEnd w:id="0"/>
                            <w:r w:rsidRPr="0033774A">
                              <w:rPr>
                                <w:b/>
                                <w:sz w:val="19"/>
                                <w:szCs w:val="19"/>
                              </w:rPr>
                              <w:t xml:space="preserve">. </w:t>
                            </w:r>
                          </w:p>
                          <w:p w14:paraId="5DAB6C7B" w14:textId="77777777" w:rsidR="0011498F" w:rsidRPr="0033774A" w:rsidRDefault="0011498F" w:rsidP="00F86C32">
                            <w:pPr>
                              <w:pStyle w:val="Default"/>
                              <w:shd w:val="clear" w:color="auto" w:fill="E7E6E6" w:themeFill="background2"/>
                              <w:rPr>
                                <w:sz w:val="19"/>
                                <w:szCs w:val="19"/>
                              </w:rPr>
                            </w:pPr>
                          </w:p>
                          <w:p w14:paraId="4DD9E539" w14:textId="15F57F89" w:rsidR="0011498F" w:rsidRPr="0033774A" w:rsidRDefault="0011498F" w:rsidP="00F86C32">
                            <w:pPr>
                              <w:pStyle w:val="Default"/>
                              <w:shd w:val="clear" w:color="auto" w:fill="E7E6E6" w:themeFill="background2"/>
                              <w:jc w:val="center"/>
                              <w:rPr>
                                <w:sz w:val="19"/>
                                <w:szCs w:val="19"/>
                              </w:rPr>
                            </w:pPr>
                            <w:r w:rsidRPr="0033774A">
                              <w:rPr>
                                <w:sz w:val="19"/>
                                <w:szCs w:val="19"/>
                              </w:rPr>
                              <w:t xml:space="preserve">On receipt of advice from </w:t>
                            </w:r>
                            <w:proofErr w:type="spellStart"/>
                            <w:r w:rsidR="00961DC3">
                              <w:rPr>
                                <w:sz w:val="19"/>
                                <w:szCs w:val="19"/>
                              </w:rPr>
                              <w:t>Medmark</w:t>
                            </w:r>
                            <w:proofErr w:type="spellEnd"/>
                            <w:r w:rsidR="00961DC3">
                              <w:rPr>
                                <w:sz w:val="19"/>
                                <w:szCs w:val="19"/>
                              </w:rPr>
                              <w:t xml:space="preserve"> Occupational Health Advisors</w:t>
                            </w:r>
                            <w:r w:rsidRPr="0033774A">
                              <w:rPr>
                                <w:sz w:val="19"/>
                                <w:szCs w:val="19"/>
                              </w:rPr>
                              <w:t>, the HR, Compensation &amp; Benefits Manager will consider the application and write to the employee to inform them if they have or have not been granted access to CIP and will give reasons for their decision.</w:t>
                            </w:r>
                          </w:p>
                          <w:p w14:paraId="02EB378F" w14:textId="77777777" w:rsidR="0011498F" w:rsidRDefault="001149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03D8B" id="_x0000_t202" coordsize="21600,21600" o:spt="202" path="m,l,21600r21600,l21600,xe">
                <v:stroke joinstyle="miter"/>
                <v:path gradientshapeok="t" o:connecttype="rect"/>
              </v:shapetype>
              <v:shape id="Text Box 2" o:spid="_x0000_s1026" type="#_x0000_t202" style="position:absolute;left:0;text-align:left;margin-left:-1.5pt;margin-top:33.85pt;width:474.75pt;height:20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" fillcolor="#e7e6e6 [3214]">
                <v:textbox>
                  <w:txbxContent>
                    <w:p w14:paraId="12D4820D" w14:textId="77777777" w:rsidR="0011498F" w:rsidRPr="0033774A" w:rsidRDefault="0011498F" w:rsidP="00F86C32">
                      <w:pPr>
                        <w:pStyle w:val="Default"/>
                        <w:shd w:val="clear" w:color="auto" w:fill="E7E6E6" w:themeFill="background2"/>
                        <w:rPr>
                          <w:sz w:val="19"/>
                          <w:szCs w:val="19"/>
                        </w:rPr>
                      </w:pPr>
                      <w:r w:rsidRPr="0033774A">
                        <w:rPr>
                          <w:sz w:val="19"/>
                          <w:szCs w:val="19"/>
                        </w:rPr>
                        <w:t xml:space="preserve">The Critical Illness Protocol (attached) must be read in full prior to submitting this form. </w:t>
                      </w:r>
                    </w:p>
                    <w:p w14:paraId="4DDA8BAE" w14:textId="77777777" w:rsidR="0011498F" w:rsidRPr="0033774A" w:rsidRDefault="0011498F" w:rsidP="00F86C32">
                      <w:pPr>
                        <w:pStyle w:val="Default"/>
                        <w:shd w:val="clear" w:color="auto" w:fill="E7E6E6" w:themeFill="background2"/>
                        <w:rPr>
                          <w:sz w:val="19"/>
                          <w:szCs w:val="19"/>
                        </w:rPr>
                      </w:pPr>
                      <w:r w:rsidRPr="0033774A">
                        <w:rPr>
                          <w:sz w:val="19"/>
                          <w:szCs w:val="19"/>
                        </w:rPr>
                        <w:t xml:space="preserve">The Protocol provides full details on the criteria required for access to extended sick leave for Critical Illness Provisions (CIP). Employees must submit this application form for CIP to the HR, Compensation &amp; Benefits Manager. </w:t>
                      </w:r>
                    </w:p>
                    <w:p w14:paraId="0892DAE3" w14:textId="4F0E0225" w:rsidR="0011498F" w:rsidRPr="0033774A" w:rsidRDefault="0011498F" w:rsidP="00F86C32">
                      <w:pPr>
                        <w:pStyle w:val="Default"/>
                        <w:shd w:val="clear" w:color="auto" w:fill="E7E6E6" w:themeFill="background2"/>
                        <w:rPr>
                          <w:sz w:val="19"/>
                          <w:szCs w:val="19"/>
                        </w:rPr>
                      </w:pPr>
                      <w:r w:rsidRPr="0033774A">
                        <w:rPr>
                          <w:sz w:val="19"/>
                          <w:szCs w:val="19"/>
                        </w:rPr>
                        <w:t xml:space="preserve">HR will refer the employee to </w:t>
                      </w:r>
                      <w:proofErr w:type="spellStart"/>
                      <w:r w:rsidR="001B1D67">
                        <w:rPr>
                          <w:sz w:val="19"/>
                          <w:szCs w:val="19"/>
                        </w:rPr>
                        <w:t>Medmark</w:t>
                      </w:r>
                      <w:proofErr w:type="spellEnd"/>
                      <w:r w:rsidR="001B1D67">
                        <w:rPr>
                          <w:sz w:val="19"/>
                          <w:szCs w:val="19"/>
                        </w:rPr>
                        <w:t xml:space="preserve"> Occupational Health Advisors</w:t>
                      </w:r>
                      <w:r w:rsidRPr="0033774A">
                        <w:rPr>
                          <w:sz w:val="19"/>
                          <w:szCs w:val="19"/>
                        </w:rPr>
                        <w:t xml:space="preserve"> immediately. </w:t>
                      </w:r>
                    </w:p>
                    <w:p w14:paraId="1CAE391A" w14:textId="67753169" w:rsidR="0011498F" w:rsidRPr="0033774A" w:rsidRDefault="001B1D67" w:rsidP="00F86C32">
                      <w:pPr>
                        <w:pStyle w:val="Default"/>
                        <w:shd w:val="clear" w:color="auto" w:fill="E7E6E6" w:themeFill="background2"/>
                        <w:rPr>
                          <w:sz w:val="19"/>
                          <w:szCs w:val="19"/>
                        </w:rPr>
                      </w:pPr>
                      <w:proofErr w:type="spellStart"/>
                      <w:r>
                        <w:rPr>
                          <w:sz w:val="19"/>
                          <w:szCs w:val="19"/>
                        </w:rPr>
                        <w:t>Medmark</w:t>
                      </w:r>
                      <w:proofErr w:type="spellEnd"/>
                      <w:r w:rsidR="0011498F" w:rsidRPr="0033774A">
                        <w:rPr>
                          <w:sz w:val="19"/>
                          <w:szCs w:val="19"/>
                        </w:rPr>
                        <w:t xml:space="preserve"> will provide advice to HR as to whether the employee meets the following criteria for CIP:</w:t>
                      </w:r>
                    </w:p>
                    <w:p w14:paraId="069519B7" w14:textId="77777777" w:rsidR="0011498F" w:rsidRPr="0033774A" w:rsidRDefault="0011498F" w:rsidP="00F86C32">
                      <w:pPr>
                        <w:pStyle w:val="Default"/>
                        <w:shd w:val="clear" w:color="auto" w:fill="E7E6E6" w:themeFill="background2"/>
                        <w:rPr>
                          <w:sz w:val="19"/>
                          <w:szCs w:val="19"/>
                        </w:rPr>
                      </w:pPr>
                      <w:r w:rsidRPr="0033774A">
                        <w:rPr>
                          <w:sz w:val="19"/>
                          <w:szCs w:val="19"/>
                        </w:rPr>
                        <w:t xml:space="preserve">The employee must be medically unfit to return to his/her current duties and the nature of their medical condition must have at least one of the following characteristics: </w:t>
                      </w:r>
                    </w:p>
                    <w:p w14:paraId="65821ACE" w14:textId="77777777" w:rsidR="0011498F" w:rsidRPr="0033774A" w:rsidRDefault="0011498F" w:rsidP="00F86C32">
                      <w:pPr>
                        <w:pStyle w:val="Default"/>
                        <w:shd w:val="clear" w:color="auto" w:fill="E7E6E6" w:themeFill="background2"/>
                        <w:rPr>
                          <w:b/>
                          <w:sz w:val="19"/>
                          <w:szCs w:val="19"/>
                        </w:rPr>
                      </w:pPr>
                      <w:r w:rsidRPr="0033774A">
                        <w:rPr>
                          <w:b/>
                          <w:sz w:val="19"/>
                          <w:szCs w:val="19"/>
                        </w:rPr>
                        <w:t>(</w:t>
                      </w:r>
                      <w:bookmarkStart w:id="1" w:name="OLE_LINK4"/>
                      <w:r w:rsidRPr="0033774A">
                        <w:rPr>
                          <w:b/>
                          <w:sz w:val="19"/>
                          <w:szCs w:val="19"/>
                        </w:rPr>
                        <w:t xml:space="preserve">a) Acute </w:t>
                      </w:r>
                      <w:proofErr w:type="gramStart"/>
                      <w:r w:rsidRPr="0033774A">
                        <w:rPr>
                          <w:b/>
                          <w:sz w:val="19"/>
                          <w:szCs w:val="19"/>
                        </w:rPr>
                        <w:t>life threatening</w:t>
                      </w:r>
                      <w:proofErr w:type="gramEnd"/>
                      <w:r w:rsidRPr="0033774A">
                        <w:rPr>
                          <w:b/>
                          <w:sz w:val="19"/>
                          <w:szCs w:val="19"/>
                        </w:rPr>
                        <w:t xml:space="preserve"> physical illness </w:t>
                      </w:r>
                    </w:p>
                    <w:p w14:paraId="3460EFA7" w14:textId="77777777" w:rsidR="0011498F" w:rsidRPr="0033774A" w:rsidRDefault="0011498F" w:rsidP="00F86C32">
                      <w:pPr>
                        <w:pStyle w:val="Default"/>
                        <w:shd w:val="clear" w:color="auto" w:fill="E7E6E6" w:themeFill="background2"/>
                        <w:rPr>
                          <w:b/>
                          <w:sz w:val="19"/>
                          <w:szCs w:val="19"/>
                        </w:rPr>
                      </w:pPr>
                      <w:r w:rsidRPr="0033774A">
                        <w:rPr>
                          <w:b/>
                          <w:sz w:val="19"/>
                          <w:szCs w:val="19"/>
                        </w:rPr>
                        <w:t xml:space="preserve">(b) Chronic progressive illness, with well-established potential to reduce life expectancy </w:t>
                      </w:r>
                    </w:p>
                    <w:p w14:paraId="30C31FD6" w14:textId="77777777" w:rsidR="0011498F" w:rsidRPr="0033774A" w:rsidRDefault="0011498F" w:rsidP="00F86C32">
                      <w:pPr>
                        <w:pStyle w:val="Default"/>
                        <w:shd w:val="clear" w:color="auto" w:fill="E7E6E6" w:themeFill="background2"/>
                        <w:rPr>
                          <w:b/>
                          <w:sz w:val="19"/>
                          <w:szCs w:val="19"/>
                        </w:rPr>
                      </w:pPr>
                      <w:r w:rsidRPr="0033774A">
                        <w:rPr>
                          <w:b/>
                          <w:sz w:val="19"/>
                          <w:szCs w:val="19"/>
                        </w:rPr>
                        <w:t xml:space="preserve">(c) Major physical trauma ordinarily requiring corrective acute operative surgical treatment </w:t>
                      </w:r>
                    </w:p>
                    <w:p w14:paraId="67C088B6" w14:textId="77777777" w:rsidR="0011498F" w:rsidRPr="0033774A" w:rsidRDefault="0011498F" w:rsidP="00F86C32">
                      <w:pPr>
                        <w:pStyle w:val="Default"/>
                        <w:shd w:val="clear" w:color="auto" w:fill="E7E6E6" w:themeFill="background2"/>
                        <w:rPr>
                          <w:b/>
                          <w:sz w:val="19"/>
                          <w:szCs w:val="19"/>
                        </w:rPr>
                      </w:pPr>
                      <w:r w:rsidRPr="0033774A">
                        <w:rPr>
                          <w:b/>
                          <w:sz w:val="19"/>
                          <w:szCs w:val="19"/>
                        </w:rPr>
                        <w:t>(d) In-patient or day hospital care of ten consecutive days or greater</w:t>
                      </w:r>
                      <w:bookmarkEnd w:id="1"/>
                      <w:r w:rsidRPr="0033774A">
                        <w:rPr>
                          <w:b/>
                          <w:sz w:val="19"/>
                          <w:szCs w:val="19"/>
                        </w:rPr>
                        <w:t xml:space="preserve">. </w:t>
                      </w:r>
                    </w:p>
                    <w:p w14:paraId="5DAB6C7B" w14:textId="77777777" w:rsidR="0011498F" w:rsidRPr="0033774A" w:rsidRDefault="0011498F" w:rsidP="00F86C32">
                      <w:pPr>
                        <w:pStyle w:val="Default"/>
                        <w:shd w:val="clear" w:color="auto" w:fill="E7E6E6" w:themeFill="background2"/>
                        <w:rPr>
                          <w:sz w:val="19"/>
                          <w:szCs w:val="19"/>
                        </w:rPr>
                      </w:pPr>
                    </w:p>
                    <w:p w14:paraId="4DD9E539" w14:textId="15F57F89" w:rsidR="0011498F" w:rsidRPr="0033774A" w:rsidRDefault="0011498F" w:rsidP="00F86C32">
                      <w:pPr>
                        <w:pStyle w:val="Default"/>
                        <w:shd w:val="clear" w:color="auto" w:fill="E7E6E6" w:themeFill="background2"/>
                        <w:jc w:val="center"/>
                        <w:rPr>
                          <w:sz w:val="19"/>
                          <w:szCs w:val="19"/>
                        </w:rPr>
                      </w:pPr>
                      <w:r w:rsidRPr="0033774A">
                        <w:rPr>
                          <w:sz w:val="19"/>
                          <w:szCs w:val="19"/>
                        </w:rPr>
                        <w:t xml:space="preserve">On receipt of advice from </w:t>
                      </w:r>
                      <w:proofErr w:type="spellStart"/>
                      <w:r w:rsidR="00961DC3">
                        <w:rPr>
                          <w:sz w:val="19"/>
                          <w:szCs w:val="19"/>
                        </w:rPr>
                        <w:t>Medmark</w:t>
                      </w:r>
                      <w:proofErr w:type="spellEnd"/>
                      <w:r w:rsidR="00961DC3">
                        <w:rPr>
                          <w:sz w:val="19"/>
                          <w:szCs w:val="19"/>
                        </w:rPr>
                        <w:t xml:space="preserve"> Occupational Health Advisors</w:t>
                      </w:r>
                      <w:r w:rsidRPr="0033774A">
                        <w:rPr>
                          <w:sz w:val="19"/>
                          <w:szCs w:val="19"/>
                        </w:rPr>
                        <w:t>, the HR, Compensation &amp; Benefits Manager will consider the application and write to the employee to inform them if they have or have not been granted access to CIP and will give reasons for their decision.</w:t>
                      </w:r>
                    </w:p>
                    <w:p w14:paraId="02EB378F" w14:textId="77777777" w:rsidR="0011498F" w:rsidRDefault="0011498F"/>
                  </w:txbxContent>
                </v:textbox>
                <w10:wrap type="square" anchorx="margin"/>
              </v:shape>
            </w:pict>
          </mc:Fallback>
        </mc:AlternateContent>
      </w:r>
      <w:r w:rsidR="005430D7">
        <w:rPr>
          <w:b/>
          <w:bCs/>
          <w:sz w:val="23"/>
          <w:szCs w:val="23"/>
        </w:rPr>
        <w:t>This form is to be used to make an application for extended paid sick leave under the Critical Illness Protocol</w:t>
      </w:r>
    </w:p>
    <w:p w14:paraId="41C8F396" w14:textId="77777777" w:rsidR="0011498F" w:rsidRPr="003D74B2" w:rsidRDefault="0011498F" w:rsidP="00F86C32">
      <w:pPr>
        <w:pStyle w:val="Default"/>
        <w:shd w:val="clear" w:color="auto" w:fill="E7E6E6" w:themeFill="background2"/>
        <w:jc w:val="center"/>
        <w:rPr>
          <w:b/>
          <w:bCs/>
          <w:sz w:val="12"/>
          <w:szCs w:val="12"/>
        </w:rPr>
      </w:pPr>
    </w:p>
    <w:tbl>
      <w:tblPr>
        <w:tblStyle w:val="TableGrid"/>
        <w:tblW w:w="9498" w:type="dxa"/>
        <w:tblInd w:w="-5" w:type="dxa"/>
        <w:tblLook w:val="04A0" w:firstRow="1" w:lastRow="0" w:firstColumn="1" w:lastColumn="0" w:noHBand="0" w:noVBand="1"/>
      </w:tblPr>
      <w:tblGrid>
        <w:gridCol w:w="4680"/>
        <w:gridCol w:w="4818"/>
      </w:tblGrid>
      <w:tr w:rsidR="005430D7" w14:paraId="1D63B256" w14:textId="77777777" w:rsidTr="005900D1">
        <w:tc>
          <w:tcPr>
            <w:tcW w:w="9498" w:type="dxa"/>
            <w:gridSpan w:val="2"/>
            <w:shd w:val="clear" w:color="auto" w:fill="BDD6EE" w:themeFill="accent1" w:themeFillTint="66"/>
          </w:tcPr>
          <w:p w14:paraId="2D2851E7" w14:textId="77777777" w:rsidR="005430D7" w:rsidRPr="00F86C32" w:rsidRDefault="005430D7" w:rsidP="00F86C32">
            <w:pPr>
              <w:pStyle w:val="Default"/>
              <w:shd w:val="clear" w:color="auto" w:fill="E7E6E6" w:themeFill="background2"/>
              <w:rPr>
                <w:sz w:val="28"/>
                <w:szCs w:val="28"/>
              </w:rPr>
            </w:pPr>
            <w:r w:rsidRPr="00F86C32">
              <w:rPr>
                <w:sz w:val="28"/>
                <w:szCs w:val="28"/>
              </w:rPr>
              <w:t>Section 1. To be completed by the Employee</w:t>
            </w:r>
          </w:p>
        </w:tc>
      </w:tr>
      <w:tr w:rsidR="005430D7" w14:paraId="615FE36E" w14:textId="77777777" w:rsidTr="005900D1">
        <w:tc>
          <w:tcPr>
            <w:tcW w:w="4680" w:type="dxa"/>
          </w:tcPr>
          <w:p w14:paraId="52EC665E" w14:textId="77777777" w:rsidR="005430D7" w:rsidRDefault="005430D7" w:rsidP="005430D7">
            <w:pPr>
              <w:pStyle w:val="Default"/>
              <w:rPr>
                <w:color w:val="auto"/>
              </w:rPr>
            </w:pPr>
            <w:r>
              <w:rPr>
                <w:sz w:val="20"/>
                <w:szCs w:val="20"/>
              </w:rPr>
              <w:t>Surname:</w:t>
            </w:r>
          </w:p>
        </w:tc>
        <w:tc>
          <w:tcPr>
            <w:tcW w:w="4818" w:type="dxa"/>
          </w:tcPr>
          <w:p w14:paraId="737FFEA5" w14:textId="77777777" w:rsidR="005430D7" w:rsidRDefault="005430D7" w:rsidP="005430D7">
            <w:pPr>
              <w:pStyle w:val="Default"/>
              <w:rPr>
                <w:sz w:val="20"/>
                <w:szCs w:val="20"/>
              </w:rPr>
            </w:pPr>
            <w:r>
              <w:rPr>
                <w:sz w:val="20"/>
                <w:szCs w:val="20"/>
              </w:rPr>
              <w:t>First Name:</w:t>
            </w:r>
          </w:p>
          <w:p w14:paraId="72A3D3EC" w14:textId="77777777" w:rsidR="005430D7" w:rsidRDefault="005430D7" w:rsidP="005430D7">
            <w:pPr>
              <w:pStyle w:val="Default"/>
              <w:rPr>
                <w:color w:val="auto"/>
              </w:rPr>
            </w:pPr>
          </w:p>
        </w:tc>
      </w:tr>
      <w:tr w:rsidR="005430D7" w14:paraId="056D7F79" w14:textId="77777777" w:rsidTr="005900D1">
        <w:tc>
          <w:tcPr>
            <w:tcW w:w="4680" w:type="dxa"/>
          </w:tcPr>
          <w:p w14:paraId="7893222B" w14:textId="77777777" w:rsidR="005430D7" w:rsidRDefault="005430D7" w:rsidP="005430D7">
            <w:pPr>
              <w:pStyle w:val="Default"/>
              <w:rPr>
                <w:sz w:val="20"/>
                <w:szCs w:val="20"/>
              </w:rPr>
            </w:pPr>
            <w:r>
              <w:rPr>
                <w:sz w:val="20"/>
                <w:szCs w:val="20"/>
              </w:rPr>
              <w:t>PPS Number</w:t>
            </w:r>
            <w:r w:rsidR="005900D1">
              <w:rPr>
                <w:sz w:val="20"/>
                <w:szCs w:val="20"/>
              </w:rPr>
              <w:t>:</w:t>
            </w:r>
          </w:p>
          <w:p w14:paraId="0D0B940D" w14:textId="77777777" w:rsidR="005430D7" w:rsidRDefault="005430D7" w:rsidP="005430D7">
            <w:pPr>
              <w:pStyle w:val="Default"/>
              <w:rPr>
                <w:color w:val="auto"/>
              </w:rPr>
            </w:pPr>
          </w:p>
        </w:tc>
        <w:tc>
          <w:tcPr>
            <w:tcW w:w="4818" w:type="dxa"/>
          </w:tcPr>
          <w:p w14:paraId="1B443FEA" w14:textId="77777777" w:rsidR="005430D7" w:rsidRDefault="005430D7" w:rsidP="005430D7">
            <w:pPr>
              <w:pStyle w:val="Default"/>
              <w:rPr>
                <w:color w:val="auto"/>
              </w:rPr>
            </w:pPr>
            <w:r>
              <w:rPr>
                <w:sz w:val="20"/>
                <w:szCs w:val="20"/>
              </w:rPr>
              <w:t>Date of Birth</w:t>
            </w:r>
            <w:r w:rsidR="005900D1">
              <w:rPr>
                <w:sz w:val="20"/>
                <w:szCs w:val="20"/>
              </w:rPr>
              <w:t>:</w:t>
            </w:r>
          </w:p>
        </w:tc>
      </w:tr>
      <w:tr w:rsidR="005430D7" w14:paraId="469A2F81" w14:textId="77777777" w:rsidTr="005900D1">
        <w:tc>
          <w:tcPr>
            <w:tcW w:w="4680" w:type="dxa"/>
          </w:tcPr>
          <w:p w14:paraId="2EB4EE55" w14:textId="77777777" w:rsidR="005430D7" w:rsidRDefault="005430D7" w:rsidP="005430D7">
            <w:pPr>
              <w:pStyle w:val="Default"/>
              <w:rPr>
                <w:sz w:val="20"/>
                <w:szCs w:val="20"/>
              </w:rPr>
            </w:pPr>
            <w:r>
              <w:rPr>
                <w:sz w:val="20"/>
                <w:szCs w:val="20"/>
              </w:rPr>
              <w:t>I.D. Number:</w:t>
            </w:r>
          </w:p>
          <w:p w14:paraId="0E27B00A" w14:textId="77777777" w:rsidR="005430D7" w:rsidRDefault="005430D7" w:rsidP="005430D7">
            <w:pPr>
              <w:pStyle w:val="Default"/>
              <w:rPr>
                <w:sz w:val="20"/>
                <w:szCs w:val="20"/>
              </w:rPr>
            </w:pPr>
          </w:p>
        </w:tc>
        <w:tc>
          <w:tcPr>
            <w:tcW w:w="4818" w:type="dxa"/>
          </w:tcPr>
          <w:p w14:paraId="50FAF229" w14:textId="77777777" w:rsidR="005430D7" w:rsidRDefault="005430D7" w:rsidP="005430D7">
            <w:pPr>
              <w:pStyle w:val="Default"/>
              <w:rPr>
                <w:sz w:val="20"/>
                <w:szCs w:val="20"/>
              </w:rPr>
            </w:pPr>
            <w:r>
              <w:rPr>
                <w:sz w:val="20"/>
                <w:szCs w:val="20"/>
              </w:rPr>
              <w:t>Department:</w:t>
            </w:r>
          </w:p>
        </w:tc>
      </w:tr>
      <w:tr w:rsidR="005430D7" w14:paraId="3D8FE96C" w14:textId="77777777" w:rsidTr="005900D1">
        <w:tc>
          <w:tcPr>
            <w:tcW w:w="9498" w:type="dxa"/>
            <w:gridSpan w:val="2"/>
          </w:tcPr>
          <w:p w14:paraId="77719BD4" w14:textId="77777777" w:rsidR="0033774A" w:rsidRDefault="005430D7" w:rsidP="005430D7">
            <w:pPr>
              <w:pStyle w:val="Default"/>
              <w:rPr>
                <w:sz w:val="20"/>
                <w:szCs w:val="20"/>
              </w:rPr>
            </w:pPr>
            <w:r>
              <w:rPr>
                <w:sz w:val="20"/>
                <w:szCs w:val="20"/>
              </w:rPr>
              <w:t xml:space="preserve">I wish to apply for extended paid sick leave </w:t>
            </w:r>
            <w:proofErr w:type="gramStart"/>
            <w:r>
              <w:rPr>
                <w:sz w:val="20"/>
                <w:szCs w:val="20"/>
              </w:rPr>
              <w:t>From</w:t>
            </w:r>
            <w:proofErr w:type="gramEnd"/>
            <w:r>
              <w:rPr>
                <w:sz w:val="20"/>
                <w:szCs w:val="20"/>
              </w:rPr>
              <w:t xml:space="preserve"> </w:t>
            </w:r>
            <w:r w:rsidR="0033774A">
              <w:rPr>
                <w:sz w:val="20"/>
                <w:szCs w:val="20"/>
              </w:rPr>
              <w:t>_________________________</w:t>
            </w:r>
          </w:p>
          <w:p w14:paraId="108142C0" w14:textId="77777777" w:rsidR="005430D7" w:rsidRDefault="0033774A" w:rsidP="005430D7">
            <w:pPr>
              <w:pStyle w:val="Default"/>
              <w:rPr>
                <w:sz w:val="20"/>
                <w:szCs w:val="20"/>
              </w:rPr>
            </w:pPr>
            <w:r>
              <w:rPr>
                <w:sz w:val="20"/>
                <w:szCs w:val="20"/>
              </w:rPr>
              <w:t xml:space="preserve">                                                                                       Date</w:t>
            </w:r>
          </w:p>
          <w:p w14:paraId="60061E4C" w14:textId="77777777" w:rsidR="005430D7" w:rsidRDefault="005430D7" w:rsidP="005430D7">
            <w:pPr>
              <w:pStyle w:val="Default"/>
              <w:rPr>
                <w:sz w:val="20"/>
                <w:szCs w:val="20"/>
              </w:rPr>
            </w:pPr>
          </w:p>
        </w:tc>
      </w:tr>
      <w:tr w:rsidR="005430D7" w14:paraId="712A1C4C" w14:textId="77777777" w:rsidTr="005900D1">
        <w:tc>
          <w:tcPr>
            <w:tcW w:w="9498" w:type="dxa"/>
            <w:gridSpan w:val="2"/>
          </w:tcPr>
          <w:p w14:paraId="667D5993" w14:textId="77777777" w:rsidR="00577909" w:rsidRDefault="005430D7" w:rsidP="005430D7">
            <w:pPr>
              <w:pStyle w:val="Default"/>
              <w:rPr>
                <w:sz w:val="20"/>
                <w:szCs w:val="20"/>
              </w:rPr>
            </w:pPr>
            <w:r>
              <w:rPr>
                <w:sz w:val="20"/>
                <w:szCs w:val="20"/>
              </w:rPr>
              <w:t>I attach a medical certificate</w:t>
            </w:r>
            <w:r w:rsidR="00577909">
              <w:rPr>
                <w:sz w:val="20"/>
                <w:szCs w:val="20"/>
              </w:rPr>
              <w:t>/statement</w:t>
            </w:r>
            <w:r>
              <w:rPr>
                <w:sz w:val="20"/>
                <w:szCs w:val="20"/>
              </w:rPr>
              <w:t xml:space="preserve"> from my treating Consultant</w:t>
            </w:r>
            <w:r w:rsidR="00577909">
              <w:rPr>
                <w:sz w:val="20"/>
                <w:szCs w:val="20"/>
              </w:rPr>
              <w:t xml:space="preserve">, </w:t>
            </w:r>
          </w:p>
          <w:p w14:paraId="7EF06673" w14:textId="77777777" w:rsidR="005430D7" w:rsidRDefault="00577909" w:rsidP="005430D7">
            <w:pPr>
              <w:pStyle w:val="Default"/>
              <w:rPr>
                <w:rFonts w:ascii="Webdings" w:hAnsi="Webdings" w:cs="Webdings"/>
                <w:sz w:val="20"/>
                <w:szCs w:val="20"/>
              </w:rPr>
            </w:pPr>
            <w:r>
              <w:rPr>
                <w:sz w:val="20"/>
                <w:szCs w:val="20"/>
              </w:rPr>
              <w:t>confirming my medical condition meets the criteria for CIP.</w:t>
            </w:r>
            <w:r w:rsidR="005430D7">
              <w:rPr>
                <w:sz w:val="20"/>
                <w:szCs w:val="20"/>
              </w:rPr>
              <w:t xml:space="preserve"> </w:t>
            </w:r>
            <w:r>
              <w:rPr>
                <w:sz w:val="20"/>
                <w:szCs w:val="20"/>
              </w:rPr>
              <w:t xml:space="preserve">                                                       </w:t>
            </w:r>
            <w:r w:rsidR="005430D7">
              <w:rPr>
                <w:sz w:val="20"/>
                <w:szCs w:val="20"/>
              </w:rPr>
              <w:t xml:space="preserve">Yes </w:t>
            </w:r>
            <w:r w:rsidR="005430D7">
              <w:rPr>
                <w:rFonts w:ascii="Webdings" w:hAnsi="Webdings" w:cs="Webdings"/>
                <w:sz w:val="20"/>
                <w:szCs w:val="20"/>
              </w:rPr>
              <w:t></w:t>
            </w:r>
          </w:p>
          <w:p w14:paraId="44EAFD9C" w14:textId="77777777" w:rsidR="00577909" w:rsidRDefault="00577909" w:rsidP="005430D7">
            <w:pPr>
              <w:pStyle w:val="Default"/>
              <w:rPr>
                <w:sz w:val="20"/>
                <w:szCs w:val="20"/>
              </w:rPr>
            </w:pPr>
          </w:p>
        </w:tc>
      </w:tr>
    </w:tbl>
    <w:p w14:paraId="4B94D5A5" w14:textId="77777777" w:rsidR="005430D7" w:rsidRPr="005900D1" w:rsidRDefault="005430D7" w:rsidP="005430D7">
      <w:pPr>
        <w:pStyle w:val="Default"/>
        <w:rPr>
          <w:color w:val="auto"/>
        </w:rPr>
      </w:pPr>
    </w:p>
    <w:tbl>
      <w:tblPr>
        <w:tblStyle w:val="TableGrid"/>
        <w:tblW w:w="9498" w:type="dxa"/>
        <w:tblInd w:w="-5" w:type="dxa"/>
        <w:tblLook w:val="04A0" w:firstRow="1" w:lastRow="0" w:firstColumn="1" w:lastColumn="0" w:noHBand="0" w:noVBand="1"/>
      </w:tblPr>
      <w:tblGrid>
        <w:gridCol w:w="3119"/>
        <w:gridCol w:w="6379"/>
      </w:tblGrid>
      <w:tr w:rsidR="000665FC" w14:paraId="2B049D66" w14:textId="77777777" w:rsidTr="00F86C32">
        <w:tc>
          <w:tcPr>
            <w:tcW w:w="9498" w:type="dxa"/>
            <w:gridSpan w:val="2"/>
            <w:shd w:val="clear" w:color="auto" w:fill="E7E6E6" w:themeFill="background2"/>
          </w:tcPr>
          <w:p w14:paraId="4E28F990" w14:textId="77777777" w:rsidR="000665FC" w:rsidRPr="00EF5345" w:rsidRDefault="0011498F" w:rsidP="000726B0">
            <w:pPr>
              <w:pStyle w:val="Default"/>
              <w:rPr>
                <w:b/>
                <w:sz w:val="28"/>
                <w:szCs w:val="28"/>
              </w:rPr>
            </w:pPr>
            <w:r w:rsidRPr="00EF5345">
              <w:rPr>
                <w:b/>
                <w:sz w:val="28"/>
                <w:szCs w:val="28"/>
              </w:rPr>
              <w:t>Employee Declaration</w:t>
            </w:r>
          </w:p>
        </w:tc>
      </w:tr>
      <w:tr w:rsidR="000665FC" w14:paraId="038A146B" w14:textId="77777777" w:rsidTr="005900D1">
        <w:tc>
          <w:tcPr>
            <w:tcW w:w="9498" w:type="dxa"/>
            <w:gridSpan w:val="2"/>
          </w:tcPr>
          <w:tbl>
            <w:tblPr>
              <w:tblW w:w="9236" w:type="dxa"/>
              <w:tblBorders>
                <w:top w:val="nil"/>
                <w:left w:val="nil"/>
                <w:bottom w:val="nil"/>
                <w:right w:val="nil"/>
              </w:tblBorders>
              <w:tblLook w:val="0000" w:firstRow="0" w:lastRow="0" w:firstColumn="0" w:lastColumn="0" w:noHBand="0" w:noVBand="0"/>
            </w:tblPr>
            <w:tblGrid>
              <w:gridCol w:w="9236"/>
            </w:tblGrid>
            <w:tr w:rsidR="0011498F" w:rsidRPr="0011498F" w14:paraId="4378FEF4" w14:textId="77777777" w:rsidTr="0011498F">
              <w:trPr>
                <w:trHeight w:val="109"/>
              </w:trPr>
              <w:tc>
                <w:tcPr>
                  <w:tcW w:w="9236" w:type="dxa"/>
                </w:tcPr>
                <w:p w14:paraId="4928C245" w14:textId="4747A597" w:rsidR="0011498F" w:rsidRPr="0011498F" w:rsidRDefault="0011498F" w:rsidP="00577909">
                  <w:pPr>
                    <w:autoSpaceDE w:val="0"/>
                    <w:autoSpaceDN w:val="0"/>
                    <w:adjustRightInd w:val="0"/>
                    <w:spacing w:after="0" w:line="240" w:lineRule="auto"/>
                    <w:rPr>
                      <w:rFonts w:ascii="Arial" w:hAnsi="Arial" w:cs="Arial"/>
                      <w:color w:val="000000"/>
                      <w:sz w:val="20"/>
                      <w:szCs w:val="20"/>
                    </w:rPr>
                  </w:pPr>
                  <w:r w:rsidRPr="0011498F">
                    <w:rPr>
                      <w:rFonts w:ascii="Arial" w:hAnsi="Arial" w:cs="Arial"/>
                      <w:color w:val="000000"/>
                      <w:sz w:val="20"/>
                      <w:szCs w:val="20"/>
                    </w:rPr>
                    <w:t xml:space="preserve">I have read the Critical Illness Protocol and I wish to apply for access to CIP. </w:t>
                  </w:r>
                  <w:r>
                    <w:rPr>
                      <w:rFonts w:ascii="Arial" w:hAnsi="Arial" w:cs="Arial"/>
                      <w:color w:val="000000"/>
                      <w:sz w:val="20"/>
                      <w:szCs w:val="20"/>
                    </w:rPr>
                    <w:t xml:space="preserve">I also give consent for my personal details to be confidentially issued to </w:t>
                  </w:r>
                  <w:proofErr w:type="spellStart"/>
                  <w:r w:rsidR="007B47F3">
                    <w:rPr>
                      <w:rFonts w:ascii="Arial" w:hAnsi="Arial" w:cs="Arial"/>
                      <w:color w:val="000000"/>
                      <w:sz w:val="20"/>
                      <w:szCs w:val="20"/>
                    </w:rPr>
                    <w:t>Medmark</w:t>
                  </w:r>
                  <w:proofErr w:type="spellEnd"/>
                  <w:r>
                    <w:rPr>
                      <w:rFonts w:ascii="Arial" w:hAnsi="Arial" w:cs="Arial"/>
                      <w:color w:val="000000"/>
                      <w:sz w:val="20"/>
                      <w:szCs w:val="20"/>
                    </w:rPr>
                    <w:t xml:space="preserve"> in respect of a </w:t>
                  </w:r>
                  <w:r w:rsidR="00577909">
                    <w:rPr>
                      <w:rFonts w:ascii="Arial" w:hAnsi="Arial" w:cs="Arial"/>
                      <w:color w:val="000000"/>
                      <w:sz w:val="20"/>
                      <w:szCs w:val="20"/>
                    </w:rPr>
                    <w:t xml:space="preserve">medical </w:t>
                  </w:r>
                  <w:r>
                    <w:rPr>
                      <w:rFonts w:ascii="Arial" w:hAnsi="Arial" w:cs="Arial"/>
                      <w:color w:val="000000"/>
                      <w:sz w:val="20"/>
                      <w:szCs w:val="20"/>
                    </w:rPr>
                    <w:t>referral</w:t>
                  </w:r>
                  <w:r w:rsidR="00577909">
                    <w:rPr>
                      <w:rFonts w:ascii="Arial" w:hAnsi="Arial" w:cs="Arial"/>
                      <w:color w:val="000000"/>
                      <w:sz w:val="20"/>
                      <w:szCs w:val="20"/>
                    </w:rPr>
                    <w:t>.</w:t>
                  </w:r>
                </w:p>
              </w:tc>
            </w:tr>
          </w:tbl>
          <w:p w14:paraId="3DEEC669" w14:textId="77777777" w:rsidR="000665FC" w:rsidRDefault="000665FC" w:rsidP="000665FC">
            <w:pPr>
              <w:pStyle w:val="Default"/>
              <w:rPr>
                <w:sz w:val="20"/>
                <w:szCs w:val="20"/>
              </w:rPr>
            </w:pPr>
          </w:p>
        </w:tc>
      </w:tr>
      <w:tr w:rsidR="00B63E3D" w14:paraId="41FB3B19" w14:textId="77777777" w:rsidTr="005900D1">
        <w:tc>
          <w:tcPr>
            <w:tcW w:w="3119" w:type="dxa"/>
          </w:tcPr>
          <w:p w14:paraId="2DBEF58A" w14:textId="77777777" w:rsidR="00B63E3D" w:rsidRDefault="00577909" w:rsidP="00577909">
            <w:pPr>
              <w:pStyle w:val="Default"/>
              <w:rPr>
                <w:sz w:val="20"/>
                <w:szCs w:val="20"/>
              </w:rPr>
            </w:pPr>
            <w:r>
              <w:rPr>
                <w:sz w:val="20"/>
                <w:szCs w:val="20"/>
              </w:rPr>
              <w:t>Signed</w:t>
            </w:r>
          </w:p>
        </w:tc>
        <w:tc>
          <w:tcPr>
            <w:tcW w:w="6379" w:type="dxa"/>
          </w:tcPr>
          <w:p w14:paraId="3656B9AB" w14:textId="77777777" w:rsidR="00B63E3D" w:rsidRDefault="00B63E3D" w:rsidP="00B63E3D">
            <w:pPr>
              <w:pStyle w:val="Default"/>
              <w:rPr>
                <w:sz w:val="20"/>
                <w:szCs w:val="20"/>
              </w:rPr>
            </w:pPr>
          </w:p>
          <w:p w14:paraId="45FB0818" w14:textId="77777777" w:rsidR="0011498F" w:rsidRDefault="0011498F" w:rsidP="00B63E3D">
            <w:pPr>
              <w:pStyle w:val="Default"/>
              <w:rPr>
                <w:sz w:val="20"/>
                <w:szCs w:val="20"/>
              </w:rPr>
            </w:pPr>
          </w:p>
        </w:tc>
      </w:tr>
      <w:tr w:rsidR="00B63E3D" w14:paraId="491072FA" w14:textId="77777777" w:rsidTr="005900D1">
        <w:tc>
          <w:tcPr>
            <w:tcW w:w="3119" w:type="dxa"/>
          </w:tcPr>
          <w:p w14:paraId="5F3F821A" w14:textId="77777777" w:rsidR="00B63E3D" w:rsidRDefault="0011498F" w:rsidP="00577909">
            <w:pPr>
              <w:pStyle w:val="Default"/>
              <w:rPr>
                <w:sz w:val="20"/>
                <w:szCs w:val="20"/>
              </w:rPr>
            </w:pPr>
            <w:r>
              <w:rPr>
                <w:sz w:val="20"/>
                <w:szCs w:val="20"/>
              </w:rPr>
              <w:t>Date</w:t>
            </w:r>
          </w:p>
        </w:tc>
        <w:tc>
          <w:tcPr>
            <w:tcW w:w="6379" w:type="dxa"/>
          </w:tcPr>
          <w:p w14:paraId="049F31CB" w14:textId="77777777" w:rsidR="00B63E3D" w:rsidRDefault="00B63E3D" w:rsidP="00B63E3D">
            <w:pPr>
              <w:pStyle w:val="Default"/>
              <w:rPr>
                <w:sz w:val="20"/>
                <w:szCs w:val="20"/>
              </w:rPr>
            </w:pPr>
          </w:p>
          <w:p w14:paraId="53128261" w14:textId="77777777" w:rsidR="00577909" w:rsidRDefault="00577909" w:rsidP="00B63E3D">
            <w:pPr>
              <w:pStyle w:val="Default"/>
              <w:rPr>
                <w:sz w:val="20"/>
                <w:szCs w:val="20"/>
              </w:rPr>
            </w:pPr>
          </w:p>
        </w:tc>
      </w:tr>
    </w:tbl>
    <w:p w14:paraId="06FAAC40" w14:textId="77777777" w:rsidR="005430D7" w:rsidRDefault="00EF5345" w:rsidP="005430D7">
      <w:pPr>
        <w:pStyle w:val="Default"/>
        <w:rPr>
          <w:color w:val="auto"/>
          <w:sz w:val="28"/>
          <w:szCs w:val="28"/>
        </w:rPr>
      </w:pPr>
      <w:r>
        <w:rPr>
          <w:color w:val="auto"/>
          <w:sz w:val="28"/>
          <w:szCs w:val="28"/>
        </w:rPr>
        <w:t>……………………………………………………………………………………….</w:t>
      </w:r>
    </w:p>
    <w:tbl>
      <w:tblPr>
        <w:tblW w:w="10539" w:type="dxa"/>
        <w:tblInd w:w="-108" w:type="dxa"/>
        <w:tblBorders>
          <w:top w:val="nil"/>
          <w:left w:val="nil"/>
          <w:bottom w:val="nil"/>
          <w:right w:val="nil"/>
        </w:tblBorders>
        <w:tblLayout w:type="fixed"/>
        <w:tblLook w:val="0000" w:firstRow="0" w:lastRow="0" w:firstColumn="0" w:lastColumn="0" w:noHBand="0" w:noVBand="0"/>
      </w:tblPr>
      <w:tblGrid>
        <w:gridCol w:w="10539"/>
      </w:tblGrid>
      <w:tr w:rsidR="005430D7" w14:paraId="2C5D908B" w14:textId="77777777" w:rsidTr="00A1593C">
        <w:trPr>
          <w:trHeight w:val="205"/>
        </w:trPr>
        <w:tc>
          <w:tcPr>
            <w:tcW w:w="10539" w:type="dxa"/>
          </w:tcPr>
          <w:tbl>
            <w:tblPr>
              <w:tblStyle w:val="TableGrid"/>
              <w:tblW w:w="0" w:type="auto"/>
              <w:tblLayout w:type="fixed"/>
              <w:tblLook w:val="04A0" w:firstRow="1" w:lastRow="0" w:firstColumn="1" w:lastColumn="0" w:noHBand="0" w:noVBand="1"/>
            </w:tblPr>
            <w:tblGrid>
              <w:gridCol w:w="3118"/>
              <w:gridCol w:w="1858"/>
              <w:gridCol w:w="1559"/>
              <w:gridCol w:w="2971"/>
            </w:tblGrid>
            <w:tr w:rsidR="00577909" w14:paraId="1DFFD330" w14:textId="77777777" w:rsidTr="00F86C32">
              <w:trPr>
                <w:trHeight w:val="595"/>
              </w:trPr>
              <w:tc>
                <w:tcPr>
                  <w:tcW w:w="9506" w:type="dxa"/>
                  <w:gridSpan w:val="4"/>
                  <w:shd w:val="clear" w:color="auto" w:fill="E7E6E6" w:themeFill="background2"/>
                </w:tcPr>
                <w:p w14:paraId="3AEE39AB" w14:textId="77777777" w:rsidR="00577909" w:rsidRPr="00577909" w:rsidRDefault="00577909" w:rsidP="00577909">
                  <w:pPr>
                    <w:pStyle w:val="Default"/>
                    <w:rPr>
                      <w:sz w:val="28"/>
                      <w:szCs w:val="28"/>
                    </w:rPr>
                  </w:pPr>
                  <w:r>
                    <w:rPr>
                      <w:sz w:val="28"/>
                      <w:szCs w:val="28"/>
                    </w:rPr>
                    <w:t>Section 2. To be completed by the Compensation &amp; Benefits Manager, Human Resources Division</w:t>
                  </w:r>
                </w:p>
              </w:tc>
            </w:tr>
            <w:tr w:rsidR="005900D1" w14:paraId="2E6C9225" w14:textId="77777777" w:rsidTr="00825D9D">
              <w:trPr>
                <w:trHeight w:val="415"/>
              </w:trPr>
              <w:tc>
                <w:tcPr>
                  <w:tcW w:w="3118" w:type="dxa"/>
                </w:tcPr>
                <w:p w14:paraId="6A008D29" w14:textId="77777777" w:rsidR="005900D1" w:rsidRDefault="005900D1" w:rsidP="005900D1">
                  <w:pPr>
                    <w:pStyle w:val="Default"/>
                    <w:rPr>
                      <w:sz w:val="20"/>
                      <w:szCs w:val="20"/>
                    </w:rPr>
                  </w:pPr>
                  <w:r>
                    <w:rPr>
                      <w:sz w:val="20"/>
                      <w:szCs w:val="20"/>
                    </w:rPr>
                    <w:t xml:space="preserve">I recommend this application is          </w:t>
                  </w:r>
                </w:p>
              </w:tc>
              <w:tc>
                <w:tcPr>
                  <w:tcW w:w="3417" w:type="dxa"/>
                  <w:gridSpan w:val="2"/>
                </w:tcPr>
                <w:p w14:paraId="3B946CA9" w14:textId="77777777" w:rsidR="005900D1" w:rsidRDefault="005900D1" w:rsidP="005900D1">
                  <w:pPr>
                    <w:pStyle w:val="Default"/>
                    <w:rPr>
                      <w:sz w:val="20"/>
                      <w:szCs w:val="20"/>
                    </w:rPr>
                  </w:pPr>
                  <w:r>
                    <w:rPr>
                      <w:sz w:val="20"/>
                      <w:szCs w:val="20"/>
                    </w:rPr>
                    <w:t xml:space="preserve">Approved   </w:t>
                  </w:r>
                </w:p>
              </w:tc>
              <w:tc>
                <w:tcPr>
                  <w:tcW w:w="2971" w:type="dxa"/>
                </w:tcPr>
                <w:p w14:paraId="2257E8C0" w14:textId="77777777" w:rsidR="005900D1" w:rsidRDefault="005900D1" w:rsidP="005900D1">
                  <w:pPr>
                    <w:pStyle w:val="Default"/>
                    <w:rPr>
                      <w:sz w:val="20"/>
                      <w:szCs w:val="20"/>
                    </w:rPr>
                  </w:pPr>
                  <w:r>
                    <w:rPr>
                      <w:sz w:val="20"/>
                      <w:szCs w:val="20"/>
                    </w:rPr>
                    <w:t>Rejected</w:t>
                  </w:r>
                </w:p>
                <w:p w14:paraId="62486C05" w14:textId="77777777" w:rsidR="005900D1" w:rsidRDefault="005900D1" w:rsidP="005900D1">
                  <w:pPr>
                    <w:pStyle w:val="Default"/>
                    <w:rPr>
                      <w:sz w:val="20"/>
                      <w:szCs w:val="20"/>
                    </w:rPr>
                  </w:pPr>
                </w:p>
              </w:tc>
            </w:tr>
            <w:tr w:rsidR="005900D1" w14:paraId="08503042" w14:textId="77777777" w:rsidTr="00825D9D">
              <w:trPr>
                <w:trHeight w:val="415"/>
              </w:trPr>
              <w:tc>
                <w:tcPr>
                  <w:tcW w:w="3118" w:type="dxa"/>
                </w:tcPr>
                <w:p w14:paraId="12C0B26E" w14:textId="77777777" w:rsidR="005900D1" w:rsidRDefault="005900D1" w:rsidP="005900D1">
                  <w:pPr>
                    <w:pStyle w:val="Default"/>
                    <w:rPr>
                      <w:sz w:val="20"/>
                      <w:szCs w:val="20"/>
                    </w:rPr>
                  </w:pPr>
                  <w:r>
                    <w:rPr>
                      <w:sz w:val="20"/>
                      <w:szCs w:val="20"/>
                    </w:rPr>
                    <w:t xml:space="preserve">Approved on the grounds of        </w:t>
                  </w:r>
                </w:p>
              </w:tc>
              <w:tc>
                <w:tcPr>
                  <w:tcW w:w="3417" w:type="dxa"/>
                  <w:gridSpan w:val="2"/>
                </w:tcPr>
                <w:p w14:paraId="1C29D9A0" w14:textId="77777777" w:rsidR="005900D1" w:rsidRDefault="005900D1" w:rsidP="005900D1">
                  <w:pPr>
                    <w:pStyle w:val="Default"/>
                    <w:rPr>
                      <w:sz w:val="20"/>
                      <w:szCs w:val="20"/>
                    </w:rPr>
                  </w:pPr>
                  <w:r>
                    <w:rPr>
                      <w:sz w:val="20"/>
                      <w:szCs w:val="20"/>
                    </w:rPr>
                    <w:t>Occupational Health Recommendation</w:t>
                  </w:r>
                </w:p>
              </w:tc>
              <w:tc>
                <w:tcPr>
                  <w:tcW w:w="2971" w:type="dxa"/>
                </w:tcPr>
                <w:p w14:paraId="13CECE73" w14:textId="77777777" w:rsidR="005900D1" w:rsidRDefault="005900D1" w:rsidP="005900D1">
                  <w:pPr>
                    <w:pStyle w:val="Default"/>
                    <w:rPr>
                      <w:sz w:val="20"/>
                      <w:szCs w:val="20"/>
                    </w:rPr>
                  </w:pPr>
                  <w:r>
                    <w:rPr>
                      <w:sz w:val="20"/>
                      <w:szCs w:val="20"/>
                    </w:rPr>
                    <w:t>Exceptional circumstances (management discretion)</w:t>
                  </w:r>
                </w:p>
              </w:tc>
            </w:tr>
            <w:tr w:rsidR="005900D1" w14:paraId="011A609B" w14:textId="77777777" w:rsidTr="00A1593C">
              <w:trPr>
                <w:trHeight w:val="470"/>
              </w:trPr>
              <w:tc>
                <w:tcPr>
                  <w:tcW w:w="9506" w:type="dxa"/>
                  <w:gridSpan w:val="4"/>
                </w:tcPr>
                <w:p w14:paraId="0E005E1A" w14:textId="77777777" w:rsidR="005900D1" w:rsidRDefault="005900D1" w:rsidP="005900D1">
                  <w:pPr>
                    <w:pStyle w:val="Default"/>
                    <w:rPr>
                      <w:sz w:val="20"/>
                      <w:szCs w:val="20"/>
                    </w:rPr>
                  </w:pPr>
                  <w:r>
                    <w:rPr>
                      <w:sz w:val="20"/>
                      <w:szCs w:val="20"/>
                    </w:rPr>
                    <w:t xml:space="preserve">If recommended for rejection on management discretion grounds, please state reason: </w:t>
                  </w:r>
                </w:p>
                <w:p w14:paraId="4101652C" w14:textId="63E92535" w:rsidR="005900D1" w:rsidRDefault="00544800" w:rsidP="006820EC">
                  <w:pPr>
                    <w:pStyle w:val="Default"/>
                    <w:tabs>
                      <w:tab w:val="left" w:pos="7680"/>
                    </w:tabs>
                    <w:rPr>
                      <w:color w:val="auto"/>
                    </w:rPr>
                  </w:pPr>
                  <w:r>
                    <w:rPr>
                      <w:color w:val="auto"/>
                    </w:rPr>
                    <w:tab/>
                  </w:r>
                </w:p>
              </w:tc>
            </w:tr>
            <w:tr w:rsidR="005900D1" w14:paraId="25E34973" w14:textId="77777777" w:rsidTr="00A1593C">
              <w:trPr>
                <w:trHeight w:val="443"/>
              </w:trPr>
              <w:tc>
                <w:tcPr>
                  <w:tcW w:w="4976" w:type="dxa"/>
                  <w:gridSpan w:val="2"/>
                </w:tcPr>
                <w:p w14:paraId="5E63BCC2" w14:textId="77777777" w:rsidR="00C94166" w:rsidRDefault="005900D1" w:rsidP="005900D1">
                  <w:pPr>
                    <w:pStyle w:val="Default"/>
                    <w:rPr>
                      <w:sz w:val="20"/>
                      <w:szCs w:val="20"/>
                    </w:rPr>
                  </w:pPr>
                  <w:r>
                    <w:rPr>
                      <w:sz w:val="20"/>
                      <w:szCs w:val="20"/>
                    </w:rPr>
                    <w:lastRenderedPageBreak/>
                    <w:t xml:space="preserve">Signed:                                               </w:t>
                  </w:r>
                </w:p>
                <w:p w14:paraId="4B99056E" w14:textId="77777777" w:rsidR="005900D1" w:rsidRPr="00C94166" w:rsidRDefault="00C94166" w:rsidP="00C94166">
                  <w:pPr>
                    <w:tabs>
                      <w:tab w:val="left" w:pos="945"/>
                    </w:tabs>
                  </w:pPr>
                  <w:r>
                    <w:tab/>
                  </w:r>
                </w:p>
              </w:tc>
              <w:tc>
                <w:tcPr>
                  <w:tcW w:w="4530" w:type="dxa"/>
                  <w:gridSpan w:val="2"/>
                </w:tcPr>
                <w:p w14:paraId="3101716D" w14:textId="77777777" w:rsidR="005900D1" w:rsidRDefault="005900D1" w:rsidP="005900D1">
                  <w:pPr>
                    <w:pStyle w:val="Default"/>
                    <w:rPr>
                      <w:sz w:val="20"/>
                      <w:szCs w:val="20"/>
                    </w:rPr>
                  </w:pPr>
                  <w:r>
                    <w:rPr>
                      <w:sz w:val="20"/>
                      <w:szCs w:val="20"/>
                    </w:rPr>
                    <w:t>Date:</w:t>
                  </w:r>
                </w:p>
                <w:p w14:paraId="1299C43A" w14:textId="77777777" w:rsidR="005900D1" w:rsidRDefault="005900D1" w:rsidP="005900D1">
                  <w:pPr>
                    <w:pStyle w:val="Default"/>
                    <w:rPr>
                      <w:sz w:val="20"/>
                      <w:szCs w:val="20"/>
                    </w:rPr>
                  </w:pPr>
                </w:p>
              </w:tc>
            </w:tr>
          </w:tbl>
          <w:p w14:paraId="4DDBEF00" w14:textId="77777777" w:rsidR="00C94166" w:rsidRDefault="00C94166">
            <w:pPr>
              <w:pStyle w:val="Default"/>
              <w:rPr>
                <w:sz w:val="16"/>
                <w:szCs w:val="16"/>
              </w:rPr>
            </w:pPr>
          </w:p>
          <w:p w14:paraId="3461D779" w14:textId="77777777" w:rsidR="00825D9D" w:rsidRDefault="00825D9D">
            <w:pPr>
              <w:pStyle w:val="Default"/>
              <w:rPr>
                <w:sz w:val="16"/>
                <w:szCs w:val="16"/>
              </w:rPr>
            </w:pPr>
          </w:p>
          <w:p w14:paraId="3CF2D8B6" w14:textId="77777777" w:rsidR="00825D9D" w:rsidRDefault="00825D9D">
            <w:pPr>
              <w:pStyle w:val="Default"/>
              <w:rPr>
                <w:sz w:val="16"/>
                <w:szCs w:val="16"/>
              </w:rPr>
            </w:pPr>
          </w:p>
          <w:p w14:paraId="0FB78278" w14:textId="77777777" w:rsidR="00825D9D" w:rsidRDefault="00825D9D">
            <w:pPr>
              <w:pStyle w:val="Default"/>
              <w:rPr>
                <w:sz w:val="16"/>
                <w:szCs w:val="16"/>
              </w:rPr>
            </w:pPr>
          </w:p>
          <w:p w14:paraId="59D5BB93" w14:textId="77777777" w:rsidR="00825D9D" w:rsidRDefault="00825D9D" w:rsidP="00825D9D">
            <w:pPr>
              <w:pStyle w:val="Default"/>
              <w:tabs>
                <w:tab w:val="left" w:pos="6765"/>
              </w:tabs>
              <w:rPr>
                <w:sz w:val="16"/>
                <w:szCs w:val="16"/>
              </w:rPr>
            </w:pPr>
            <w:r w:rsidRPr="0011498F">
              <w:rPr>
                <w:noProof/>
                <w:sz w:val="20"/>
                <w:szCs w:val="20"/>
                <w:lang w:val="en-IE" w:eastAsia="ja-JP"/>
              </w:rPr>
              <mc:AlternateContent>
                <mc:Choice Requires="wps">
                  <w:drawing>
                    <wp:anchor distT="45720" distB="45720" distL="114300" distR="114300" simplePos="0" relativeHeight="251661312" behindDoc="0" locked="0" layoutInCell="1" allowOverlap="1" wp14:anchorId="65D4516B" wp14:editId="1D4458DB">
                      <wp:simplePos x="0" y="0"/>
                      <wp:positionH relativeFrom="margin">
                        <wp:posOffset>-68580</wp:posOffset>
                      </wp:positionH>
                      <wp:positionV relativeFrom="paragraph">
                        <wp:posOffset>326390</wp:posOffset>
                      </wp:positionV>
                      <wp:extent cx="6457950" cy="419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19100"/>
                              </a:xfrm>
                              <a:prstGeom prst="rect">
                                <a:avLst/>
                              </a:prstGeom>
                              <a:solidFill>
                                <a:schemeClr val="accent1">
                                  <a:lumMod val="60000"/>
                                  <a:lumOff val="40000"/>
                                </a:schemeClr>
                              </a:solidFill>
                              <a:ln w="9525">
                                <a:solidFill>
                                  <a:srgbClr val="000000"/>
                                </a:solidFill>
                                <a:miter lim="800000"/>
                                <a:headEnd/>
                                <a:tailEnd/>
                              </a:ln>
                            </wps:spPr>
                            <wps:txbx>
                              <w:txbxContent>
                                <w:p w14:paraId="462E2340" w14:textId="77777777" w:rsidR="00A1593C" w:rsidRPr="00DA5D4F" w:rsidRDefault="00A1593C" w:rsidP="00A1593C">
                                  <w:pPr>
                                    <w:jc w:val="center"/>
                                    <w:rPr>
                                      <w:rFonts w:cs="Arial"/>
                                      <w:b/>
                                      <w:sz w:val="32"/>
                                      <w:szCs w:val="32"/>
                                    </w:rPr>
                                  </w:pPr>
                                  <w:r w:rsidRPr="00DA5D4F">
                                    <w:rPr>
                                      <w:rFonts w:cs="Arial"/>
                                      <w:b/>
                                      <w:sz w:val="32"/>
                                      <w:szCs w:val="32"/>
                                    </w:rPr>
                                    <w:t>CRITICAL ILLNESS PROTOCOL</w:t>
                                  </w:r>
                                </w:p>
                                <w:p w14:paraId="1FC39945" w14:textId="77777777" w:rsidR="00A1593C" w:rsidRDefault="00A1593C" w:rsidP="00A159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4516B" id="_x0000_s1027" type="#_x0000_t202" style="position:absolute;margin-left:-5.4pt;margin-top:25.7pt;width:508.5pt;height:3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" fillcolor="#9cc2e5 [1940]">
                      <v:textbox>
                        <w:txbxContent>
                          <w:p w14:paraId="462E2340" w14:textId="77777777" w:rsidR="00A1593C" w:rsidRPr="00DA5D4F" w:rsidRDefault="00A1593C" w:rsidP="00A1593C">
                            <w:pPr>
                              <w:jc w:val="center"/>
                              <w:rPr>
                                <w:rFonts w:cs="Arial"/>
                                <w:b/>
                                <w:sz w:val="32"/>
                                <w:szCs w:val="32"/>
                              </w:rPr>
                            </w:pPr>
                            <w:r w:rsidRPr="00DA5D4F">
                              <w:rPr>
                                <w:rFonts w:cs="Arial"/>
                                <w:b/>
                                <w:sz w:val="32"/>
                                <w:szCs w:val="32"/>
                              </w:rPr>
                              <w:t>CRITICAL ILLNESS PROTOCOL</w:t>
                            </w:r>
                          </w:p>
                          <w:p w14:paraId="1FC39945" w14:textId="77777777" w:rsidR="00A1593C" w:rsidRDefault="00A1593C" w:rsidP="00A1593C"/>
                        </w:txbxContent>
                      </v:textbox>
                      <w10:wrap type="square" anchorx="margin"/>
                    </v:shape>
                  </w:pict>
                </mc:Fallback>
              </mc:AlternateContent>
            </w:r>
            <w:r>
              <w:rPr>
                <w:sz w:val="16"/>
                <w:szCs w:val="16"/>
              </w:rPr>
              <w:tab/>
            </w:r>
          </w:p>
          <w:p w14:paraId="34CE0A41" w14:textId="77777777" w:rsidR="00577909" w:rsidRPr="00C94166" w:rsidRDefault="00577909" w:rsidP="00C94166"/>
        </w:tc>
      </w:tr>
    </w:tbl>
    <w:p w14:paraId="28E22F67" w14:textId="77777777" w:rsidR="00A1593C" w:rsidRPr="00DA5D4F" w:rsidRDefault="00A1593C" w:rsidP="00A1593C">
      <w:pPr>
        <w:rPr>
          <w:rFonts w:cs="Arial"/>
          <w:b/>
          <w:sz w:val="24"/>
          <w:szCs w:val="24"/>
        </w:rPr>
      </w:pPr>
      <w:r>
        <w:rPr>
          <w:rFonts w:cs="Arial"/>
          <w:b/>
          <w:sz w:val="24"/>
          <w:szCs w:val="24"/>
        </w:rPr>
        <w:lastRenderedPageBreak/>
        <w:t>1.</w:t>
      </w:r>
      <w:r>
        <w:rPr>
          <w:rFonts w:cs="Arial"/>
          <w:b/>
          <w:sz w:val="24"/>
          <w:szCs w:val="24"/>
        </w:rPr>
        <w:tab/>
      </w:r>
      <w:r w:rsidRPr="00DA5D4F">
        <w:rPr>
          <w:rFonts w:cs="Arial"/>
          <w:b/>
          <w:sz w:val="24"/>
          <w:szCs w:val="24"/>
        </w:rPr>
        <w:t>INTRODUCTION</w:t>
      </w:r>
    </w:p>
    <w:p w14:paraId="3FD3A6F2" w14:textId="77777777" w:rsidR="00A1593C" w:rsidRPr="00DA5D4F" w:rsidRDefault="00A1593C" w:rsidP="00A1593C">
      <w:pPr>
        <w:rPr>
          <w:rFonts w:cs="Arial"/>
          <w:sz w:val="24"/>
          <w:szCs w:val="24"/>
        </w:rPr>
      </w:pPr>
      <w:r w:rsidRPr="00DA5D4F">
        <w:rPr>
          <w:rFonts w:cs="Arial"/>
          <w:sz w:val="24"/>
          <w:szCs w:val="24"/>
        </w:rPr>
        <w:t xml:space="preserve">1.1 It is </w:t>
      </w:r>
      <w:proofErr w:type="spellStart"/>
      <w:r w:rsidRPr="00DA5D4F">
        <w:rPr>
          <w:rFonts w:cs="Arial"/>
          <w:sz w:val="24"/>
          <w:szCs w:val="24"/>
        </w:rPr>
        <w:t>recognised</w:t>
      </w:r>
      <w:proofErr w:type="spellEnd"/>
      <w:r w:rsidRPr="00DA5D4F">
        <w:rPr>
          <w:rFonts w:cs="Arial"/>
          <w:sz w:val="24"/>
          <w:szCs w:val="24"/>
        </w:rPr>
        <w:t xml:space="preserve"> that public service bodies, </w:t>
      </w:r>
      <w:proofErr w:type="gramStart"/>
      <w:r w:rsidRPr="00DA5D4F">
        <w:rPr>
          <w:rFonts w:cs="Arial"/>
          <w:sz w:val="24"/>
          <w:szCs w:val="24"/>
        </w:rPr>
        <w:t>as</w:t>
      </w:r>
      <w:proofErr w:type="gramEnd"/>
      <w:r w:rsidRPr="00DA5D4F">
        <w:rPr>
          <w:rFonts w:cs="Arial"/>
          <w:sz w:val="24"/>
          <w:szCs w:val="24"/>
        </w:rPr>
        <w:t xml:space="preserve"> employers, need to continue to provide support for their employees who may be incapacitated </w:t>
      </w:r>
      <w:proofErr w:type="gramStart"/>
      <w:r w:rsidRPr="00DA5D4F">
        <w:rPr>
          <w:rFonts w:cs="Arial"/>
          <w:sz w:val="24"/>
          <w:szCs w:val="24"/>
        </w:rPr>
        <w:t>as a result of</w:t>
      </w:r>
      <w:proofErr w:type="gramEnd"/>
      <w:r w:rsidRPr="00DA5D4F">
        <w:rPr>
          <w:rFonts w:cs="Arial"/>
          <w:sz w:val="24"/>
          <w:szCs w:val="24"/>
        </w:rPr>
        <w:t xml:space="preserve"> critical illness or serious physical injury. </w:t>
      </w:r>
      <w:proofErr w:type="gramStart"/>
      <w:r w:rsidRPr="00DA5D4F">
        <w:rPr>
          <w:rFonts w:cs="Arial"/>
          <w:sz w:val="24"/>
          <w:szCs w:val="24"/>
        </w:rPr>
        <w:t>Therefore</w:t>
      </w:r>
      <w:proofErr w:type="gramEnd"/>
      <w:r w:rsidRPr="00DA5D4F">
        <w:rPr>
          <w:rFonts w:cs="Arial"/>
          <w:sz w:val="24"/>
          <w:szCs w:val="24"/>
        </w:rPr>
        <w:t xml:space="preserve"> when an individual becomes incapacitated as a result of critical illness or serious physical injury, and has supporting medical evidence for an extended period of sick leave, the individual may, on an exceptional basis, be granted paid sick leave extended as follows:</w:t>
      </w:r>
    </w:p>
    <w:p w14:paraId="11EB24C9" w14:textId="77777777" w:rsidR="00A1593C" w:rsidRPr="00DA5D4F" w:rsidRDefault="00A1593C" w:rsidP="00A1593C">
      <w:pPr>
        <w:pStyle w:val="ListParagraph"/>
        <w:numPr>
          <w:ilvl w:val="0"/>
          <w:numId w:val="1"/>
        </w:numPr>
        <w:rPr>
          <w:rFonts w:cs="Arial"/>
          <w:sz w:val="24"/>
          <w:szCs w:val="24"/>
        </w:rPr>
      </w:pPr>
      <w:r w:rsidRPr="00DA5D4F">
        <w:rPr>
          <w:rFonts w:cs="Arial"/>
          <w:sz w:val="24"/>
          <w:szCs w:val="24"/>
        </w:rPr>
        <w:t>A maximum of 183 days on full pay in the previous rolling one-year period</w:t>
      </w:r>
    </w:p>
    <w:p w14:paraId="778B7BB3" w14:textId="77777777" w:rsidR="00A1593C" w:rsidRPr="00DA5D4F" w:rsidRDefault="00A1593C" w:rsidP="00A1593C">
      <w:pPr>
        <w:pStyle w:val="ListParagraph"/>
        <w:numPr>
          <w:ilvl w:val="0"/>
          <w:numId w:val="1"/>
        </w:numPr>
        <w:rPr>
          <w:rFonts w:cs="Arial"/>
          <w:sz w:val="24"/>
          <w:szCs w:val="24"/>
        </w:rPr>
      </w:pPr>
      <w:r w:rsidRPr="00DA5D4F">
        <w:rPr>
          <w:rFonts w:cs="Arial"/>
          <w:sz w:val="24"/>
          <w:szCs w:val="24"/>
        </w:rPr>
        <w:t xml:space="preserve">Followed by a maximum of 182 days on half pay in the previous rolling one-year </w:t>
      </w:r>
      <w:proofErr w:type="gramStart"/>
      <w:r w:rsidRPr="00DA5D4F">
        <w:rPr>
          <w:rFonts w:cs="Arial"/>
          <w:sz w:val="24"/>
          <w:szCs w:val="24"/>
        </w:rPr>
        <w:t>period</w:t>
      </w:r>
      <w:proofErr w:type="gramEnd"/>
    </w:p>
    <w:p w14:paraId="16C36F4E" w14:textId="77777777" w:rsidR="00A1593C" w:rsidRPr="00DA5D4F" w:rsidRDefault="00A1593C" w:rsidP="00A1593C">
      <w:pPr>
        <w:pStyle w:val="ListParagraph"/>
        <w:numPr>
          <w:ilvl w:val="0"/>
          <w:numId w:val="1"/>
        </w:numPr>
        <w:rPr>
          <w:rFonts w:cs="Arial"/>
          <w:sz w:val="24"/>
          <w:szCs w:val="24"/>
        </w:rPr>
      </w:pPr>
      <w:r w:rsidRPr="00DA5D4F">
        <w:rPr>
          <w:rFonts w:cs="Arial"/>
          <w:sz w:val="24"/>
          <w:szCs w:val="24"/>
        </w:rPr>
        <w:t>Subject to a maximum of 365 days paid sick leave in the previous rolling four-year period.</w:t>
      </w:r>
    </w:p>
    <w:p w14:paraId="0AF96D8D" w14:textId="77777777" w:rsidR="00A1593C" w:rsidRPr="00DA5D4F" w:rsidRDefault="00A1593C" w:rsidP="00A1593C">
      <w:pPr>
        <w:rPr>
          <w:rFonts w:cs="Arial"/>
          <w:sz w:val="24"/>
          <w:szCs w:val="24"/>
        </w:rPr>
      </w:pPr>
      <w:r w:rsidRPr="00DA5D4F">
        <w:rPr>
          <w:rFonts w:cs="Arial"/>
          <w:sz w:val="24"/>
          <w:szCs w:val="24"/>
        </w:rPr>
        <w:t>1.2 The granting of exceptional extended paid sick leave is a decision of management having considered the occupational medical advice.</w:t>
      </w:r>
    </w:p>
    <w:p w14:paraId="31665538" w14:textId="77777777" w:rsidR="00A1593C" w:rsidRDefault="00A1593C" w:rsidP="00A1593C">
      <w:pPr>
        <w:rPr>
          <w:rFonts w:cs="Arial"/>
          <w:sz w:val="24"/>
          <w:szCs w:val="24"/>
        </w:rPr>
      </w:pPr>
      <w:r w:rsidRPr="00DA5D4F">
        <w:rPr>
          <w:rFonts w:cs="Arial"/>
          <w:sz w:val="24"/>
          <w:szCs w:val="24"/>
        </w:rPr>
        <w:t>1.3 These arrangements will exclude individuals whose illness relates to an occupational injury/illness and who have access to an occupational injury/illness scheme.</w:t>
      </w:r>
    </w:p>
    <w:p w14:paraId="62EBF3C5" w14:textId="77777777" w:rsidR="00A1593C" w:rsidRPr="00DA5D4F" w:rsidRDefault="00A1593C" w:rsidP="00A1593C">
      <w:pPr>
        <w:rPr>
          <w:rFonts w:cs="Arial"/>
          <w:sz w:val="16"/>
          <w:szCs w:val="16"/>
        </w:rPr>
      </w:pPr>
    </w:p>
    <w:p w14:paraId="75EE56D3" w14:textId="77777777" w:rsidR="00A1593C" w:rsidRPr="00DA5D4F" w:rsidRDefault="00A1593C" w:rsidP="00A1593C">
      <w:pPr>
        <w:rPr>
          <w:rFonts w:cs="Arial"/>
          <w:b/>
          <w:sz w:val="24"/>
          <w:szCs w:val="24"/>
        </w:rPr>
      </w:pPr>
      <w:r w:rsidRPr="00DA5D4F">
        <w:rPr>
          <w:rFonts w:cs="Arial"/>
          <w:b/>
          <w:sz w:val="24"/>
          <w:szCs w:val="24"/>
        </w:rPr>
        <w:t xml:space="preserve">2. </w:t>
      </w:r>
      <w:r>
        <w:rPr>
          <w:rFonts w:cs="Arial"/>
          <w:b/>
          <w:sz w:val="24"/>
          <w:szCs w:val="24"/>
        </w:rPr>
        <w:tab/>
      </w:r>
      <w:r w:rsidRPr="00DA5D4F">
        <w:rPr>
          <w:rFonts w:cs="Arial"/>
          <w:b/>
          <w:sz w:val="24"/>
          <w:szCs w:val="24"/>
        </w:rPr>
        <w:t>CRITERIA FOR AWARD OF EXTENDED PAID SICK LEAVE</w:t>
      </w:r>
    </w:p>
    <w:p w14:paraId="1549A58E" w14:textId="77777777" w:rsidR="00A1593C" w:rsidRPr="00DA5D4F" w:rsidRDefault="00A1593C" w:rsidP="00A1593C">
      <w:pPr>
        <w:rPr>
          <w:rFonts w:cs="Arial"/>
          <w:sz w:val="24"/>
          <w:szCs w:val="24"/>
        </w:rPr>
      </w:pPr>
      <w:r w:rsidRPr="00DA5D4F">
        <w:rPr>
          <w:rFonts w:cs="Arial"/>
          <w:sz w:val="24"/>
          <w:szCs w:val="24"/>
        </w:rPr>
        <w:t>2.1 In determining whether an individual may be granted access to exceptional extended paid sick leave the following criteria apply:</w:t>
      </w:r>
    </w:p>
    <w:p w14:paraId="6409F91C" w14:textId="77777777" w:rsidR="00A1593C" w:rsidRPr="00DA5D4F" w:rsidRDefault="00A1593C" w:rsidP="00A1593C">
      <w:pPr>
        <w:ind w:left="720"/>
        <w:rPr>
          <w:rFonts w:cs="Arial"/>
          <w:sz w:val="24"/>
          <w:szCs w:val="24"/>
        </w:rPr>
      </w:pPr>
      <w:r w:rsidRPr="00DA5D4F">
        <w:rPr>
          <w:rFonts w:cs="Arial"/>
          <w:sz w:val="24"/>
          <w:szCs w:val="24"/>
        </w:rPr>
        <w:t xml:space="preserve">2.1.1 </w:t>
      </w:r>
      <w:r>
        <w:rPr>
          <w:rFonts w:cs="Arial"/>
          <w:sz w:val="24"/>
          <w:szCs w:val="24"/>
        </w:rPr>
        <w:tab/>
      </w:r>
      <w:r w:rsidRPr="00DA5D4F">
        <w:rPr>
          <w:rFonts w:cs="Arial"/>
          <w:sz w:val="24"/>
          <w:szCs w:val="24"/>
        </w:rPr>
        <w:t>The employee should ordinarily be under the current or recent clinical care of a consultant either as an inpatient or outpatient. This excludes employees attending primarily for report preparation or medico legal purposes.</w:t>
      </w:r>
    </w:p>
    <w:p w14:paraId="36C457BD" w14:textId="77777777" w:rsidR="00A1593C" w:rsidRPr="00DA5D4F" w:rsidRDefault="00A1593C" w:rsidP="00A1593C">
      <w:pPr>
        <w:ind w:left="720"/>
        <w:rPr>
          <w:rFonts w:cs="Arial"/>
          <w:sz w:val="24"/>
          <w:szCs w:val="24"/>
        </w:rPr>
      </w:pPr>
      <w:r w:rsidRPr="00DA5D4F">
        <w:rPr>
          <w:rFonts w:cs="Arial"/>
          <w:sz w:val="24"/>
          <w:szCs w:val="24"/>
        </w:rPr>
        <w:t xml:space="preserve">2.1.2 </w:t>
      </w:r>
      <w:r>
        <w:rPr>
          <w:rFonts w:cs="Arial"/>
          <w:sz w:val="24"/>
          <w:szCs w:val="24"/>
        </w:rPr>
        <w:tab/>
      </w:r>
      <w:r w:rsidRPr="00DA5D4F">
        <w:rPr>
          <w:rFonts w:cs="Arial"/>
          <w:sz w:val="24"/>
          <w:szCs w:val="24"/>
        </w:rPr>
        <w:t>The case must be referred by the employer to its Occupational Health Service for medical advice.</w:t>
      </w:r>
    </w:p>
    <w:p w14:paraId="5AB03714" w14:textId="77777777" w:rsidR="00A1593C" w:rsidRPr="00DA5D4F" w:rsidRDefault="00A1593C" w:rsidP="00A1593C">
      <w:pPr>
        <w:ind w:left="720"/>
        <w:rPr>
          <w:rFonts w:cs="Arial"/>
          <w:sz w:val="24"/>
          <w:szCs w:val="24"/>
        </w:rPr>
      </w:pPr>
      <w:r w:rsidRPr="00DA5D4F">
        <w:rPr>
          <w:rFonts w:cs="Arial"/>
          <w:sz w:val="24"/>
          <w:szCs w:val="24"/>
        </w:rPr>
        <w:t xml:space="preserve">2.1.3 </w:t>
      </w:r>
      <w:r>
        <w:rPr>
          <w:rFonts w:cs="Arial"/>
          <w:sz w:val="24"/>
          <w:szCs w:val="24"/>
        </w:rPr>
        <w:tab/>
      </w:r>
      <w:r w:rsidRPr="00DA5D4F">
        <w:rPr>
          <w:rFonts w:cs="Arial"/>
          <w:sz w:val="24"/>
          <w:szCs w:val="24"/>
        </w:rPr>
        <w:t xml:space="preserve">The responsibility lies with the employee to furnish any treating doctor’s medical reports requested within an appropriate </w:t>
      </w:r>
      <w:proofErr w:type="gramStart"/>
      <w:r w:rsidRPr="00DA5D4F">
        <w:rPr>
          <w:rFonts w:cs="Arial"/>
          <w:sz w:val="24"/>
          <w:szCs w:val="24"/>
        </w:rPr>
        <w:t>time-frame</w:t>
      </w:r>
      <w:proofErr w:type="gramEnd"/>
      <w:r w:rsidRPr="00DA5D4F">
        <w:rPr>
          <w:rFonts w:cs="Arial"/>
          <w:sz w:val="24"/>
          <w:szCs w:val="24"/>
        </w:rPr>
        <w:t xml:space="preserve"> to </w:t>
      </w:r>
      <w:proofErr w:type="gramStart"/>
      <w:r w:rsidRPr="00DA5D4F">
        <w:rPr>
          <w:rFonts w:cs="Arial"/>
          <w:sz w:val="24"/>
          <w:szCs w:val="24"/>
        </w:rPr>
        <w:t>avail</w:t>
      </w:r>
      <w:proofErr w:type="gramEnd"/>
      <w:r w:rsidRPr="00DA5D4F">
        <w:rPr>
          <w:rFonts w:cs="Arial"/>
          <w:sz w:val="24"/>
          <w:szCs w:val="24"/>
        </w:rPr>
        <w:t xml:space="preserve"> of the exceptional extended paid sick leave. A treating consultant’s specialism must be appropriate to the critical illness for which the employee is making a claim.</w:t>
      </w:r>
    </w:p>
    <w:p w14:paraId="45C4037D" w14:textId="77777777" w:rsidR="00A1593C" w:rsidRPr="00DA5D4F" w:rsidRDefault="00A1593C" w:rsidP="00A1593C">
      <w:pPr>
        <w:ind w:left="720"/>
        <w:rPr>
          <w:rFonts w:cs="Arial"/>
          <w:sz w:val="24"/>
          <w:szCs w:val="24"/>
        </w:rPr>
      </w:pPr>
      <w:r w:rsidRPr="00DA5D4F">
        <w:rPr>
          <w:rFonts w:cs="Arial"/>
          <w:sz w:val="24"/>
          <w:szCs w:val="24"/>
        </w:rPr>
        <w:t>2.1.4</w:t>
      </w:r>
      <w:r>
        <w:rPr>
          <w:rFonts w:cs="Arial"/>
          <w:sz w:val="24"/>
          <w:szCs w:val="24"/>
        </w:rPr>
        <w:tab/>
      </w:r>
      <w:r w:rsidRPr="00DA5D4F">
        <w:rPr>
          <w:rFonts w:cs="Arial"/>
          <w:sz w:val="24"/>
          <w:szCs w:val="24"/>
        </w:rPr>
        <w:t xml:space="preserve"> The Occupational Physician, from the employer’s Occupational Health Service, will advise whether, in their opinion, the following criteria are met:</w:t>
      </w:r>
    </w:p>
    <w:p w14:paraId="6D98E170" w14:textId="77777777" w:rsidR="00A1593C" w:rsidRDefault="00A1593C" w:rsidP="00A1593C">
      <w:pPr>
        <w:ind w:left="1440" w:hanging="720"/>
        <w:rPr>
          <w:rFonts w:cs="Arial"/>
          <w:sz w:val="24"/>
          <w:szCs w:val="24"/>
        </w:rPr>
      </w:pPr>
      <w:proofErr w:type="spellStart"/>
      <w:r w:rsidRPr="00DA5D4F">
        <w:rPr>
          <w:rFonts w:cs="Arial"/>
          <w:sz w:val="24"/>
          <w:szCs w:val="24"/>
        </w:rPr>
        <w:lastRenderedPageBreak/>
        <w:t>i</w:t>
      </w:r>
      <w:proofErr w:type="spellEnd"/>
      <w:r w:rsidRPr="00DA5D4F">
        <w:rPr>
          <w:rFonts w:cs="Arial"/>
          <w:sz w:val="24"/>
          <w:szCs w:val="24"/>
        </w:rPr>
        <w:t xml:space="preserve">. </w:t>
      </w:r>
      <w:r>
        <w:rPr>
          <w:rFonts w:cs="Arial"/>
          <w:sz w:val="24"/>
          <w:szCs w:val="24"/>
        </w:rPr>
        <w:tab/>
      </w:r>
      <w:r w:rsidRPr="00DA5D4F">
        <w:rPr>
          <w:rFonts w:cs="Arial"/>
          <w:sz w:val="24"/>
          <w:szCs w:val="24"/>
        </w:rPr>
        <w:t>The employee is medically unfit to return to his or her current duties or (where practicable) modified duties in the same pay grade</w:t>
      </w:r>
    </w:p>
    <w:p w14:paraId="6D98A12B" w14:textId="77777777" w:rsidR="00825D9D" w:rsidRDefault="00825D9D" w:rsidP="00A1593C">
      <w:pPr>
        <w:ind w:left="1440" w:hanging="720"/>
        <w:rPr>
          <w:rFonts w:cs="Arial"/>
          <w:sz w:val="24"/>
          <w:szCs w:val="24"/>
        </w:rPr>
      </w:pPr>
    </w:p>
    <w:p w14:paraId="2946DB82" w14:textId="77777777" w:rsidR="00825D9D" w:rsidRDefault="00825D9D" w:rsidP="00A1593C">
      <w:pPr>
        <w:ind w:left="1440" w:hanging="720"/>
        <w:rPr>
          <w:rFonts w:cs="Arial"/>
          <w:sz w:val="24"/>
          <w:szCs w:val="24"/>
        </w:rPr>
      </w:pPr>
    </w:p>
    <w:p w14:paraId="5997CC1D" w14:textId="77777777" w:rsidR="00825D9D" w:rsidRPr="00DA5D4F" w:rsidRDefault="00825D9D" w:rsidP="00A1593C">
      <w:pPr>
        <w:ind w:left="1440" w:hanging="720"/>
        <w:rPr>
          <w:rFonts w:cs="Arial"/>
          <w:sz w:val="24"/>
          <w:szCs w:val="24"/>
        </w:rPr>
      </w:pPr>
    </w:p>
    <w:p w14:paraId="12C979AA" w14:textId="77777777" w:rsidR="00A1593C" w:rsidRPr="00DA5D4F" w:rsidRDefault="00A1593C" w:rsidP="00A1593C">
      <w:pPr>
        <w:ind w:firstLine="720"/>
        <w:rPr>
          <w:rFonts w:cs="Arial"/>
          <w:sz w:val="24"/>
          <w:szCs w:val="24"/>
        </w:rPr>
      </w:pPr>
      <w:r w:rsidRPr="00DA5D4F">
        <w:rPr>
          <w:rFonts w:cs="Arial"/>
          <w:sz w:val="24"/>
          <w:szCs w:val="24"/>
        </w:rPr>
        <w:t xml:space="preserve">ii. </w:t>
      </w:r>
      <w:r>
        <w:rPr>
          <w:rFonts w:cs="Arial"/>
          <w:sz w:val="24"/>
          <w:szCs w:val="24"/>
        </w:rPr>
        <w:tab/>
      </w:r>
      <w:r w:rsidRPr="00DA5D4F">
        <w:rPr>
          <w:rFonts w:cs="Arial"/>
          <w:sz w:val="24"/>
          <w:szCs w:val="24"/>
        </w:rPr>
        <w:t xml:space="preserve">The nature of this medical condition has </w:t>
      </w:r>
      <w:r w:rsidRPr="00B519BD">
        <w:rPr>
          <w:rFonts w:cs="Arial"/>
          <w:b/>
          <w:sz w:val="24"/>
          <w:szCs w:val="24"/>
          <w:u w:val="single"/>
        </w:rPr>
        <w:t>at least one</w:t>
      </w:r>
      <w:r w:rsidRPr="00DA5D4F">
        <w:rPr>
          <w:rFonts w:cs="Arial"/>
          <w:sz w:val="24"/>
          <w:szCs w:val="24"/>
        </w:rPr>
        <w:t xml:space="preserve"> of the following </w:t>
      </w:r>
      <w:r>
        <w:rPr>
          <w:rFonts w:cs="Arial"/>
          <w:sz w:val="24"/>
          <w:szCs w:val="24"/>
        </w:rPr>
        <w:tab/>
      </w:r>
      <w:r>
        <w:rPr>
          <w:rFonts w:cs="Arial"/>
          <w:sz w:val="24"/>
          <w:szCs w:val="24"/>
        </w:rPr>
        <w:tab/>
      </w:r>
      <w:r>
        <w:rPr>
          <w:rFonts w:cs="Arial"/>
          <w:sz w:val="24"/>
          <w:szCs w:val="24"/>
        </w:rPr>
        <w:tab/>
      </w:r>
      <w:r>
        <w:rPr>
          <w:rFonts w:cs="Arial"/>
          <w:sz w:val="24"/>
          <w:szCs w:val="24"/>
        </w:rPr>
        <w:tab/>
      </w:r>
      <w:r w:rsidRPr="00DA5D4F">
        <w:rPr>
          <w:rFonts w:cs="Arial"/>
          <w:sz w:val="24"/>
          <w:szCs w:val="24"/>
        </w:rPr>
        <w:t>characteristics:</w:t>
      </w:r>
    </w:p>
    <w:p w14:paraId="39DFDF7E" w14:textId="77777777" w:rsidR="00A1593C" w:rsidRPr="00DA5D4F" w:rsidRDefault="00A1593C" w:rsidP="00A1593C">
      <w:pPr>
        <w:ind w:left="720" w:firstLine="720"/>
        <w:rPr>
          <w:rFonts w:cs="Arial"/>
          <w:sz w:val="24"/>
          <w:szCs w:val="24"/>
        </w:rPr>
      </w:pPr>
      <w:r w:rsidRPr="00DA5D4F">
        <w:rPr>
          <w:rFonts w:cs="Arial"/>
          <w:sz w:val="24"/>
          <w:szCs w:val="24"/>
        </w:rPr>
        <w:t xml:space="preserve">(a) Acute </w:t>
      </w:r>
      <w:proofErr w:type="gramStart"/>
      <w:r w:rsidRPr="00DA5D4F">
        <w:rPr>
          <w:rFonts w:cs="Arial"/>
          <w:sz w:val="24"/>
          <w:szCs w:val="24"/>
        </w:rPr>
        <w:t>life threatening</w:t>
      </w:r>
      <w:proofErr w:type="gramEnd"/>
      <w:r w:rsidRPr="00DA5D4F">
        <w:rPr>
          <w:rFonts w:cs="Arial"/>
          <w:sz w:val="24"/>
          <w:szCs w:val="24"/>
        </w:rPr>
        <w:t xml:space="preserve"> physical illness</w:t>
      </w:r>
    </w:p>
    <w:p w14:paraId="6C5F107F" w14:textId="77777777" w:rsidR="00A1593C" w:rsidRPr="00DA5D4F" w:rsidRDefault="00A1593C" w:rsidP="00A1593C">
      <w:pPr>
        <w:ind w:left="720" w:firstLine="720"/>
        <w:rPr>
          <w:rFonts w:cs="Arial"/>
          <w:sz w:val="24"/>
          <w:szCs w:val="24"/>
        </w:rPr>
      </w:pPr>
      <w:r w:rsidRPr="00DA5D4F">
        <w:rPr>
          <w:rFonts w:cs="Arial"/>
          <w:sz w:val="24"/>
          <w:szCs w:val="24"/>
        </w:rPr>
        <w:t xml:space="preserve">(b) Chronic progressive illness, with well-established potential to reduce life </w:t>
      </w:r>
      <w:r>
        <w:rPr>
          <w:rFonts w:cs="Arial"/>
          <w:sz w:val="24"/>
          <w:szCs w:val="24"/>
        </w:rPr>
        <w:tab/>
      </w:r>
      <w:r w:rsidRPr="00DA5D4F">
        <w:rPr>
          <w:rFonts w:cs="Arial"/>
          <w:sz w:val="24"/>
          <w:szCs w:val="24"/>
        </w:rPr>
        <w:t>expectancy</w:t>
      </w:r>
    </w:p>
    <w:p w14:paraId="3C9A19A7" w14:textId="77777777" w:rsidR="00A1593C" w:rsidRPr="00DA5D4F" w:rsidRDefault="00A1593C" w:rsidP="00A1593C">
      <w:pPr>
        <w:ind w:left="1440"/>
        <w:rPr>
          <w:rFonts w:cs="Arial"/>
          <w:sz w:val="24"/>
          <w:szCs w:val="24"/>
        </w:rPr>
      </w:pPr>
      <w:r w:rsidRPr="00DA5D4F">
        <w:rPr>
          <w:rFonts w:cs="Arial"/>
          <w:sz w:val="24"/>
          <w:szCs w:val="24"/>
        </w:rPr>
        <w:t>(c) Major physical trauma ordinarily requiring corrective acute operative surgical treatment</w:t>
      </w:r>
    </w:p>
    <w:p w14:paraId="023A3B04" w14:textId="77777777" w:rsidR="00A1593C" w:rsidRPr="00DA5D4F" w:rsidRDefault="00A1593C" w:rsidP="00A1593C">
      <w:pPr>
        <w:ind w:left="720" w:firstLine="720"/>
        <w:rPr>
          <w:rFonts w:cs="Arial"/>
          <w:sz w:val="24"/>
          <w:szCs w:val="24"/>
        </w:rPr>
      </w:pPr>
      <w:r w:rsidRPr="00DA5D4F">
        <w:rPr>
          <w:rFonts w:cs="Arial"/>
          <w:sz w:val="24"/>
          <w:szCs w:val="24"/>
        </w:rPr>
        <w:t>(d) In-patient hospital care of two consecutive weeks or greater2.</w:t>
      </w:r>
    </w:p>
    <w:p w14:paraId="43CED7BD" w14:textId="77777777" w:rsidR="00A1593C" w:rsidRDefault="00A1593C" w:rsidP="00A1593C">
      <w:pPr>
        <w:ind w:left="1440" w:hanging="1440"/>
        <w:rPr>
          <w:rFonts w:cs="Arial"/>
          <w:sz w:val="24"/>
          <w:szCs w:val="24"/>
        </w:rPr>
      </w:pPr>
      <w:r w:rsidRPr="00DA5D4F">
        <w:rPr>
          <w:rFonts w:cs="Arial"/>
          <w:sz w:val="24"/>
          <w:szCs w:val="24"/>
        </w:rPr>
        <w:t xml:space="preserve">2.1.5 </w:t>
      </w:r>
      <w:r>
        <w:rPr>
          <w:rFonts w:cs="Arial"/>
          <w:sz w:val="24"/>
          <w:szCs w:val="24"/>
        </w:rPr>
        <w:tab/>
      </w:r>
      <w:r w:rsidRPr="00DA5D4F">
        <w:rPr>
          <w:rFonts w:cs="Arial"/>
          <w:sz w:val="24"/>
          <w:szCs w:val="24"/>
        </w:rPr>
        <w:t xml:space="preserve">The Occupational Physician will consider the information provided by the treating </w:t>
      </w:r>
      <w:proofErr w:type="gramStart"/>
      <w:r>
        <w:rPr>
          <w:rFonts w:cs="Arial"/>
          <w:sz w:val="24"/>
          <w:szCs w:val="24"/>
        </w:rPr>
        <w:t>d</w:t>
      </w:r>
      <w:r w:rsidRPr="00DA5D4F">
        <w:rPr>
          <w:rFonts w:cs="Arial"/>
          <w:sz w:val="24"/>
          <w:szCs w:val="24"/>
        </w:rPr>
        <w:t>octor, and</w:t>
      </w:r>
      <w:proofErr w:type="gramEnd"/>
      <w:r w:rsidRPr="00DA5D4F">
        <w:rPr>
          <w:rFonts w:cs="Arial"/>
          <w:sz w:val="24"/>
          <w:szCs w:val="24"/>
        </w:rPr>
        <w:t xml:space="preserve"> may confer with them with consent if they feel this would be helpful. It is not an absolute requirement that a definitive final diagnosis has been made. The Occupational Physician may accept a presumptive diagnosis on a </w:t>
      </w:r>
      <w:proofErr w:type="gramStart"/>
      <w:r w:rsidRPr="00DA5D4F">
        <w:rPr>
          <w:rFonts w:cs="Arial"/>
          <w:sz w:val="24"/>
          <w:szCs w:val="24"/>
        </w:rPr>
        <w:t>case by case</w:t>
      </w:r>
      <w:proofErr w:type="gramEnd"/>
      <w:r w:rsidRPr="00DA5D4F">
        <w:rPr>
          <w:rFonts w:cs="Arial"/>
          <w:sz w:val="24"/>
          <w:szCs w:val="24"/>
        </w:rPr>
        <w:t xml:space="preserve"> basis.</w:t>
      </w:r>
    </w:p>
    <w:p w14:paraId="110FFD37" w14:textId="77777777" w:rsidR="00A1593C" w:rsidRPr="00DA5D4F" w:rsidRDefault="00A1593C" w:rsidP="00A1593C">
      <w:pPr>
        <w:rPr>
          <w:rFonts w:cs="Arial"/>
          <w:sz w:val="16"/>
          <w:szCs w:val="16"/>
        </w:rPr>
      </w:pPr>
    </w:p>
    <w:p w14:paraId="2CFFEE27" w14:textId="77777777" w:rsidR="00A1593C" w:rsidRPr="00DA5D4F" w:rsidRDefault="00A1593C" w:rsidP="00A1593C">
      <w:pPr>
        <w:rPr>
          <w:rFonts w:cs="Arial"/>
          <w:b/>
          <w:sz w:val="24"/>
          <w:szCs w:val="24"/>
        </w:rPr>
      </w:pPr>
      <w:r w:rsidRPr="00DA5D4F">
        <w:rPr>
          <w:rFonts w:cs="Arial"/>
          <w:b/>
          <w:sz w:val="24"/>
          <w:szCs w:val="24"/>
        </w:rPr>
        <w:t>3</w:t>
      </w:r>
      <w:r>
        <w:rPr>
          <w:rFonts w:cs="Arial"/>
          <w:b/>
          <w:sz w:val="24"/>
          <w:szCs w:val="24"/>
        </w:rPr>
        <w:t>.</w:t>
      </w:r>
      <w:r>
        <w:rPr>
          <w:rFonts w:cs="Arial"/>
          <w:b/>
          <w:sz w:val="24"/>
          <w:szCs w:val="24"/>
        </w:rPr>
        <w:tab/>
      </w:r>
      <w:r w:rsidRPr="00DA5D4F">
        <w:rPr>
          <w:rFonts w:cs="Arial"/>
          <w:b/>
          <w:sz w:val="24"/>
          <w:szCs w:val="24"/>
        </w:rPr>
        <w:t xml:space="preserve"> DECISION TO AWARD</w:t>
      </w:r>
    </w:p>
    <w:p w14:paraId="5842B0E8" w14:textId="77777777" w:rsidR="00A1593C" w:rsidRPr="00DA5D4F" w:rsidRDefault="00A1593C" w:rsidP="00A1593C">
      <w:pPr>
        <w:ind w:left="720" w:hanging="720"/>
        <w:rPr>
          <w:rFonts w:cs="Arial"/>
          <w:sz w:val="24"/>
          <w:szCs w:val="24"/>
        </w:rPr>
      </w:pPr>
      <w:r w:rsidRPr="00DA5D4F">
        <w:rPr>
          <w:rFonts w:cs="Arial"/>
          <w:sz w:val="24"/>
          <w:szCs w:val="24"/>
        </w:rPr>
        <w:t xml:space="preserve">3.1 </w:t>
      </w:r>
      <w:r>
        <w:rPr>
          <w:rFonts w:cs="Arial"/>
          <w:sz w:val="24"/>
          <w:szCs w:val="24"/>
        </w:rPr>
        <w:tab/>
      </w:r>
      <w:r w:rsidRPr="00DA5D4F">
        <w:rPr>
          <w:rFonts w:cs="Arial"/>
          <w:sz w:val="24"/>
          <w:szCs w:val="24"/>
        </w:rPr>
        <w:t>The decision on whether to award extended paid sick leave is a management decision having consulted with the relevant line manager. Whilst management must primarily consider the Occupational Medical advice, management should consider all the circumstances of the case.</w:t>
      </w:r>
    </w:p>
    <w:p w14:paraId="5B2C94B2" w14:textId="77777777" w:rsidR="00A1593C" w:rsidRPr="00DA5D4F" w:rsidRDefault="00A1593C" w:rsidP="00A1593C">
      <w:pPr>
        <w:ind w:left="720" w:hanging="720"/>
        <w:rPr>
          <w:rFonts w:cs="Arial"/>
          <w:sz w:val="24"/>
          <w:szCs w:val="24"/>
        </w:rPr>
      </w:pPr>
      <w:r w:rsidRPr="00DA5D4F">
        <w:rPr>
          <w:rFonts w:cs="Arial"/>
          <w:sz w:val="24"/>
          <w:szCs w:val="24"/>
        </w:rPr>
        <w:t xml:space="preserve">3.2 </w:t>
      </w:r>
      <w:r>
        <w:rPr>
          <w:rFonts w:cs="Arial"/>
          <w:sz w:val="24"/>
          <w:szCs w:val="24"/>
        </w:rPr>
        <w:tab/>
      </w:r>
      <w:r w:rsidRPr="00DA5D4F">
        <w:rPr>
          <w:rFonts w:cs="Arial"/>
          <w:sz w:val="24"/>
          <w:szCs w:val="24"/>
        </w:rPr>
        <w:t xml:space="preserve">Thus, although an employee may not meet the medical criteria outlined above, management may still </w:t>
      </w:r>
      <w:proofErr w:type="gramStart"/>
      <w:r w:rsidRPr="00DA5D4F">
        <w:rPr>
          <w:rFonts w:cs="Arial"/>
          <w:sz w:val="24"/>
          <w:szCs w:val="24"/>
        </w:rPr>
        <w:t>make a decision</w:t>
      </w:r>
      <w:proofErr w:type="gramEnd"/>
      <w:r w:rsidRPr="00DA5D4F">
        <w:rPr>
          <w:rFonts w:cs="Arial"/>
          <w:sz w:val="24"/>
          <w:szCs w:val="24"/>
        </w:rPr>
        <w:t xml:space="preserve"> to award in exceptional circumstances.</w:t>
      </w:r>
    </w:p>
    <w:p w14:paraId="0646D7AD" w14:textId="77777777" w:rsidR="00A1593C" w:rsidRPr="00DA5D4F" w:rsidRDefault="00A1593C" w:rsidP="00A1593C">
      <w:pPr>
        <w:ind w:left="720" w:hanging="720"/>
        <w:rPr>
          <w:rFonts w:cs="Arial"/>
          <w:sz w:val="24"/>
          <w:szCs w:val="24"/>
        </w:rPr>
      </w:pPr>
      <w:r w:rsidRPr="00DA5D4F">
        <w:rPr>
          <w:rFonts w:cs="Arial"/>
          <w:sz w:val="24"/>
          <w:szCs w:val="24"/>
        </w:rPr>
        <w:t xml:space="preserve">3.3 </w:t>
      </w:r>
      <w:r>
        <w:rPr>
          <w:rFonts w:cs="Arial"/>
          <w:sz w:val="24"/>
          <w:szCs w:val="24"/>
        </w:rPr>
        <w:tab/>
      </w:r>
      <w:r w:rsidRPr="00DA5D4F">
        <w:rPr>
          <w:rFonts w:cs="Arial"/>
          <w:sz w:val="24"/>
          <w:szCs w:val="24"/>
        </w:rPr>
        <w:t xml:space="preserve">In exercising this discretion management must demonstrate the reasons why they are awarding an extended period of paid sick leave although the individual does not meet the requirements set out </w:t>
      </w:r>
      <w:proofErr w:type="gramStart"/>
      <w:r w:rsidRPr="00DA5D4F">
        <w:rPr>
          <w:rFonts w:cs="Arial"/>
          <w:sz w:val="24"/>
          <w:szCs w:val="24"/>
        </w:rPr>
        <w:t>at</w:t>
      </w:r>
      <w:proofErr w:type="gramEnd"/>
      <w:r w:rsidRPr="00DA5D4F">
        <w:rPr>
          <w:rFonts w:cs="Arial"/>
          <w:sz w:val="24"/>
          <w:szCs w:val="24"/>
        </w:rPr>
        <w:t xml:space="preserve"> 2.1.4(ii) above. In this regard management should in particular consider the </w:t>
      </w:r>
      <w:proofErr w:type="gramStart"/>
      <w:r w:rsidRPr="00DA5D4F">
        <w:rPr>
          <w:rFonts w:cs="Arial"/>
          <w:sz w:val="24"/>
          <w:szCs w:val="24"/>
        </w:rPr>
        <w:t>following:-</w:t>
      </w:r>
      <w:proofErr w:type="gramEnd"/>
    </w:p>
    <w:p w14:paraId="60E1E0FB" w14:textId="77777777" w:rsidR="00A1593C" w:rsidRPr="00DA5D4F" w:rsidRDefault="00A1593C" w:rsidP="00A1593C">
      <w:pPr>
        <w:pStyle w:val="ListParagraph"/>
        <w:numPr>
          <w:ilvl w:val="0"/>
          <w:numId w:val="2"/>
        </w:numPr>
        <w:rPr>
          <w:rFonts w:cs="Arial"/>
          <w:sz w:val="24"/>
          <w:szCs w:val="24"/>
        </w:rPr>
      </w:pPr>
      <w:r w:rsidRPr="00DA5D4F">
        <w:rPr>
          <w:rFonts w:cs="Arial"/>
          <w:sz w:val="24"/>
          <w:szCs w:val="24"/>
        </w:rPr>
        <w:t xml:space="preserve">the individual’s sick leave </w:t>
      </w:r>
      <w:proofErr w:type="gramStart"/>
      <w:r w:rsidRPr="00DA5D4F">
        <w:rPr>
          <w:rFonts w:cs="Arial"/>
          <w:sz w:val="24"/>
          <w:szCs w:val="24"/>
        </w:rPr>
        <w:t>record;</w:t>
      </w:r>
      <w:proofErr w:type="gramEnd"/>
    </w:p>
    <w:p w14:paraId="6F170C92" w14:textId="77777777" w:rsidR="00A1593C" w:rsidRPr="00DA5D4F" w:rsidRDefault="00A1593C" w:rsidP="00A1593C">
      <w:pPr>
        <w:pStyle w:val="ListParagraph"/>
        <w:numPr>
          <w:ilvl w:val="0"/>
          <w:numId w:val="2"/>
        </w:numPr>
        <w:rPr>
          <w:rFonts w:cs="Arial"/>
          <w:sz w:val="24"/>
          <w:szCs w:val="24"/>
        </w:rPr>
      </w:pPr>
      <w:r w:rsidRPr="00DA5D4F">
        <w:rPr>
          <w:rFonts w:cs="Arial"/>
          <w:sz w:val="24"/>
          <w:szCs w:val="24"/>
        </w:rPr>
        <w:t xml:space="preserve">the potential impact of an early return on the workplace efficiency and </w:t>
      </w:r>
      <w:proofErr w:type="gramStart"/>
      <w:r w:rsidRPr="00DA5D4F">
        <w:rPr>
          <w:rFonts w:cs="Arial"/>
          <w:sz w:val="24"/>
          <w:szCs w:val="24"/>
        </w:rPr>
        <w:t>effectiveness;</w:t>
      </w:r>
      <w:proofErr w:type="gramEnd"/>
    </w:p>
    <w:p w14:paraId="16E19BF9" w14:textId="77777777" w:rsidR="00A1593C" w:rsidRPr="00DA5D4F" w:rsidRDefault="00A1593C" w:rsidP="00A1593C">
      <w:pPr>
        <w:pStyle w:val="ListParagraph"/>
        <w:numPr>
          <w:ilvl w:val="0"/>
          <w:numId w:val="2"/>
        </w:numPr>
        <w:rPr>
          <w:rFonts w:cs="Arial"/>
          <w:sz w:val="24"/>
          <w:szCs w:val="24"/>
        </w:rPr>
      </w:pPr>
      <w:r w:rsidRPr="00DA5D4F">
        <w:rPr>
          <w:rFonts w:cs="Arial"/>
          <w:sz w:val="24"/>
          <w:szCs w:val="24"/>
        </w:rPr>
        <w:t>it has not been possible to make an accommodation to facilitate the return to work of a person with a disabilit</w:t>
      </w:r>
      <w:r>
        <w:rPr>
          <w:rFonts w:cs="Arial"/>
          <w:sz w:val="24"/>
          <w:szCs w:val="24"/>
        </w:rPr>
        <w:t>y-related illness or condition.</w:t>
      </w:r>
    </w:p>
    <w:p w14:paraId="02FF154B" w14:textId="77777777" w:rsidR="00A1593C" w:rsidRDefault="00A1593C" w:rsidP="00A1593C">
      <w:pPr>
        <w:rPr>
          <w:rFonts w:cs="Arial"/>
          <w:sz w:val="24"/>
          <w:szCs w:val="24"/>
        </w:rPr>
      </w:pPr>
      <w:r w:rsidRPr="00DA5D4F">
        <w:rPr>
          <w:rFonts w:cs="Arial"/>
          <w:sz w:val="24"/>
          <w:szCs w:val="24"/>
        </w:rPr>
        <w:t>Management should also confer with the Occupational Physician in such cases.</w:t>
      </w:r>
    </w:p>
    <w:p w14:paraId="6B699379" w14:textId="77777777" w:rsidR="00825D9D" w:rsidRPr="00825D9D" w:rsidRDefault="00825D9D" w:rsidP="00A1593C">
      <w:pPr>
        <w:rPr>
          <w:rFonts w:cs="Arial"/>
          <w:sz w:val="24"/>
          <w:szCs w:val="24"/>
        </w:rPr>
      </w:pPr>
    </w:p>
    <w:p w14:paraId="4DA70617" w14:textId="77777777" w:rsidR="00A1593C" w:rsidRPr="00DA5D4F" w:rsidRDefault="00A1593C" w:rsidP="00A1593C">
      <w:pPr>
        <w:rPr>
          <w:rFonts w:cs="Arial"/>
          <w:b/>
          <w:sz w:val="24"/>
          <w:szCs w:val="24"/>
        </w:rPr>
      </w:pPr>
      <w:r w:rsidRPr="00DA5D4F">
        <w:rPr>
          <w:rFonts w:cs="Arial"/>
          <w:b/>
          <w:sz w:val="24"/>
          <w:szCs w:val="24"/>
        </w:rPr>
        <w:lastRenderedPageBreak/>
        <w:t>4</w:t>
      </w:r>
      <w:r>
        <w:rPr>
          <w:rFonts w:cs="Arial"/>
          <w:b/>
          <w:sz w:val="24"/>
          <w:szCs w:val="24"/>
        </w:rPr>
        <w:t>.</w:t>
      </w:r>
      <w:r>
        <w:rPr>
          <w:rFonts w:cs="Arial"/>
          <w:b/>
          <w:sz w:val="24"/>
          <w:szCs w:val="24"/>
        </w:rPr>
        <w:tab/>
      </w:r>
      <w:r w:rsidRPr="00DA5D4F">
        <w:rPr>
          <w:rFonts w:cs="Arial"/>
          <w:b/>
          <w:sz w:val="24"/>
          <w:szCs w:val="24"/>
        </w:rPr>
        <w:t xml:space="preserve"> APPEAL OF THE MEDICAL DECISION</w:t>
      </w:r>
    </w:p>
    <w:p w14:paraId="07BB2CC0" w14:textId="77777777" w:rsidR="00A1593C" w:rsidRPr="00DA5D4F" w:rsidRDefault="00A1593C" w:rsidP="00A1593C">
      <w:pPr>
        <w:ind w:left="720" w:hanging="720"/>
        <w:rPr>
          <w:rFonts w:cs="Arial"/>
          <w:sz w:val="24"/>
          <w:szCs w:val="24"/>
        </w:rPr>
      </w:pPr>
      <w:r w:rsidRPr="00DA5D4F">
        <w:rPr>
          <w:rFonts w:cs="Arial"/>
          <w:sz w:val="24"/>
          <w:szCs w:val="24"/>
        </w:rPr>
        <w:t xml:space="preserve">4.1 </w:t>
      </w:r>
      <w:r>
        <w:rPr>
          <w:rFonts w:cs="Arial"/>
          <w:sz w:val="24"/>
          <w:szCs w:val="24"/>
        </w:rPr>
        <w:tab/>
      </w:r>
      <w:r w:rsidRPr="00DA5D4F">
        <w:rPr>
          <w:rFonts w:cs="Arial"/>
          <w:sz w:val="24"/>
          <w:szCs w:val="24"/>
        </w:rPr>
        <w:t>The advice of the Occupational Physician may be appealed to a single appeal Specialist Occupational Physician. This appeal will ordinarily be a file only review.</w:t>
      </w:r>
    </w:p>
    <w:p w14:paraId="149E428E" w14:textId="77777777" w:rsidR="00A1593C" w:rsidRPr="00DA5D4F" w:rsidRDefault="00A1593C" w:rsidP="00A1593C">
      <w:pPr>
        <w:ind w:left="720" w:hanging="720"/>
        <w:rPr>
          <w:rFonts w:cs="Arial"/>
          <w:sz w:val="24"/>
          <w:szCs w:val="24"/>
        </w:rPr>
      </w:pPr>
      <w:r w:rsidRPr="00DA5D4F">
        <w:rPr>
          <w:rFonts w:cs="Arial"/>
          <w:sz w:val="24"/>
          <w:szCs w:val="24"/>
        </w:rPr>
        <w:t>4.2</w:t>
      </w:r>
      <w:r>
        <w:rPr>
          <w:rFonts w:cs="Arial"/>
          <w:sz w:val="24"/>
          <w:szCs w:val="24"/>
        </w:rPr>
        <w:tab/>
      </w:r>
      <w:r w:rsidRPr="00DA5D4F">
        <w:rPr>
          <w:rFonts w:cs="Arial"/>
          <w:sz w:val="24"/>
          <w:szCs w:val="24"/>
        </w:rPr>
        <w:t xml:space="preserve"> In the case of an appeal to a single Specialist Occupational Physician, an individual may arrange to meet with the Specialist Occupational Physician.</w:t>
      </w:r>
    </w:p>
    <w:p w14:paraId="3FE9F23F" w14:textId="77777777" w:rsidR="00825D9D" w:rsidRDefault="00825D9D" w:rsidP="00A1593C">
      <w:pPr>
        <w:rPr>
          <w:rFonts w:cs="Arial"/>
          <w:sz w:val="24"/>
          <w:szCs w:val="24"/>
        </w:rPr>
      </w:pPr>
    </w:p>
    <w:p w14:paraId="1F72F646" w14:textId="77777777" w:rsidR="00825D9D" w:rsidRDefault="00825D9D" w:rsidP="00A1593C">
      <w:pPr>
        <w:rPr>
          <w:rFonts w:cs="Arial"/>
          <w:sz w:val="24"/>
          <w:szCs w:val="24"/>
        </w:rPr>
      </w:pPr>
    </w:p>
    <w:p w14:paraId="7C36D868" w14:textId="77777777" w:rsidR="00A1593C" w:rsidRDefault="00A1593C" w:rsidP="00A1593C">
      <w:pPr>
        <w:rPr>
          <w:rFonts w:cs="Arial"/>
          <w:sz w:val="24"/>
          <w:szCs w:val="24"/>
        </w:rPr>
      </w:pPr>
      <w:r w:rsidRPr="00DA5D4F">
        <w:rPr>
          <w:rFonts w:cs="Arial"/>
          <w:sz w:val="24"/>
          <w:szCs w:val="24"/>
        </w:rPr>
        <w:t xml:space="preserve">4.3 </w:t>
      </w:r>
      <w:r>
        <w:rPr>
          <w:rFonts w:cs="Arial"/>
          <w:sz w:val="24"/>
          <w:szCs w:val="24"/>
        </w:rPr>
        <w:tab/>
      </w:r>
      <w:r w:rsidRPr="00DA5D4F">
        <w:rPr>
          <w:rFonts w:cs="Arial"/>
          <w:sz w:val="24"/>
          <w:szCs w:val="24"/>
        </w:rPr>
        <w:t xml:space="preserve">The final decision on any appeal lies with the employer, having considered the medical </w:t>
      </w:r>
      <w:r>
        <w:rPr>
          <w:rFonts w:cs="Arial"/>
          <w:sz w:val="24"/>
          <w:szCs w:val="24"/>
        </w:rPr>
        <w:tab/>
      </w:r>
      <w:r w:rsidRPr="00DA5D4F">
        <w:rPr>
          <w:rFonts w:cs="Arial"/>
          <w:sz w:val="24"/>
          <w:szCs w:val="24"/>
        </w:rPr>
        <w:t>advice.</w:t>
      </w:r>
    </w:p>
    <w:p w14:paraId="08CE6F91" w14:textId="77777777" w:rsidR="00A1593C" w:rsidRDefault="00A1593C" w:rsidP="00A1593C">
      <w:pPr>
        <w:rPr>
          <w:rFonts w:cs="Arial"/>
          <w:sz w:val="16"/>
          <w:szCs w:val="16"/>
        </w:rPr>
      </w:pPr>
    </w:p>
    <w:p w14:paraId="619099F0" w14:textId="77777777" w:rsidR="00A1593C" w:rsidRPr="00DA5D4F" w:rsidRDefault="00A1593C" w:rsidP="00A1593C">
      <w:pPr>
        <w:rPr>
          <w:rFonts w:cs="Arial"/>
          <w:b/>
          <w:sz w:val="24"/>
          <w:szCs w:val="24"/>
        </w:rPr>
      </w:pPr>
      <w:r w:rsidRPr="00DA5D4F">
        <w:rPr>
          <w:rFonts w:cs="Arial"/>
          <w:b/>
          <w:sz w:val="24"/>
          <w:szCs w:val="24"/>
        </w:rPr>
        <w:t>5</w:t>
      </w:r>
      <w:r>
        <w:rPr>
          <w:rFonts w:cs="Arial"/>
          <w:b/>
          <w:sz w:val="24"/>
          <w:szCs w:val="24"/>
        </w:rPr>
        <w:t>.</w:t>
      </w:r>
      <w:r>
        <w:rPr>
          <w:rFonts w:cs="Arial"/>
          <w:b/>
          <w:sz w:val="24"/>
          <w:szCs w:val="24"/>
        </w:rPr>
        <w:tab/>
      </w:r>
      <w:r w:rsidRPr="00DA5D4F">
        <w:rPr>
          <w:rFonts w:cs="Arial"/>
          <w:b/>
          <w:sz w:val="24"/>
          <w:szCs w:val="24"/>
        </w:rPr>
        <w:t xml:space="preserve"> APPEAL OF THE MANAGEMENT DECISION</w:t>
      </w:r>
    </w:p>
    <w:p w14:paraId="6E60775A" w14:textId="77777777" w:rsidR="00A1593C" w:rsidRPr="00DA5D4F" w:rsidRDefault="00A1593C" w:rsidP="00A1593C">
      <w:pPr>
        <w:ind w:left="720" w:hanging="720"/>
        <w:rPr>
          <w:rFonts w:cs="Arial"/>
          <w:sz w:val="24"/>
          <w:szCs w:val="24"/>
        </w:rPr>
      </w:pPr>
      <w:r w:rsidRPr="00DA5D4F">
        <w:rPr>
          <w:rFonts w:cs="Arial"/>
          <w:sz w:val="24"/>
          <w:szCs w:val="24"/>
        </w:rPr>
        <w:t xml:space="preserve">5.1 </w:t>
      </w:r>
      <w:r>
        <w:rPr>
          <w:rFonts w:cs="Arial"/>
          <w:sz w:val="24"/>
          <w:szCs w:val="24"/>
        </w:rPr>
        <w:tab/>
      </w:r>
      <w:r w:rsidRPr="00DA5D4F">
        <w:rPr>
          <w:rFonts w:cs="Arial"/>
          <w:sz w:val="24"/>
          <w:szCs w:val="24"/>
        </w:rPr>
        <w:t>The mechanism for appeal of the management decision will be in line with the relevant Grievance Procedure applicable to the employee’s grade.</w:t>
      </w:r>
    </w:p>
    <w:p w14:paraId="2654CF90" w14:textId="77777777" w:rsidR="00A1593C" w:rsidRPr="00DA5D4F" w:rsidRDefault="00A1593C" w:rsidP="00A1593C">
      <w:pPr>
        <w:ind w:left="720" w:hanging="720"/>
        <w:rPr>
          <w:rFonts w:cs="Arial"/>
          <w:sz w:val="24"/>
          <w:szCs w:val="24"/>
        </w:rPr>
      </w:pPr>
      <w:r>
        <w:rPr>
          <w:rFonts w:cs="Arial"/>
          <w:sz w:val="24"/>
          <w:szCs w:val="24"/>
        </w:rPr>
        <w:t xml:space="preserve">5.2 </w:t>
      </w:r>
      <w:r>
        <w:rPr>
          <w:rFonts w:cs="Arial"/>
          <w:sz w:val="24"/>
          <w:szCs w:val="24"/>
        </w:rPr>
        <w:tab/>
        <w:t>Should there be a delay</w:t>
      </w:r>
      <w:r w:rsidRPr="00DA5D4F">
        <w:rPr>
          <w:rFonts w:cs="Arial"/>
          <w:sz w:val="24"/>
          <w:szCs w:val="24"/>
        </w:rPr>
        <w:t xml:space="preserve"> in the employer referring an employee to the Occupation</w:t>
      </w:r>
      <w:r>
        <w:rPr>
          <w:rFonts w:cs="Arial"/>
          <w:sz w:val="24"/>
          <w:szCs w:val="24"/>
        </w:rPr>
        <w:t>al Health Physician, or a delay</w:t>
      </w:r>
      <w:r w:rsidRPr="00DA5D4F">
        <w:rPr>
          <w:rFonts w:cs="Arial"/>
          <w:sz w:val="24"/>
          <w:szCs w:val="24"/>
        </w:rPr>
        <w:t xml:space="preserve"> in being seen by this Occupational Health Physician, there will be no financial loss to the employee if they are later awarded the exceptional extended paid sick leave. Where, in these circumstances, an employee moves on to half pay and it is later found that access to exceptional extended paid sick leave should have been granted, pay will be restored appropriately.</w:t>
      </w:r>
    </w:p>
    <w:p w14:paraId="1C02769F" w14:textId="77777777" w:rsidR="00A1593C" w:rsidRPr="00DA5D4F" w:rsidRDefault="00A1593C" w:rsidP="00A1593C">
      <w:pPr>
        <w:ind w:left="720" w:hanging="720"/>
        <w:rPr>
          <w:rFonts w:cs="Arial"/>
          <w:sz w:val="24"/>
          <w:szCs w:val="24"/>
        </w:rPr>
      </w:pPr>
      <w:r>
        <w:rPr>
          <w:rFonts w:cs="Arial"/>
          <w:sz w:val="24"/>
          <w:szCs w:val="24"/>
        </w:rPr>
        <w:t>5.</w:t>
      </w:r>
      <w:r w:rsidRPr="00DA5D4F">
        <w:rPr>
          <w:rFonts w:cs="Arial"/>
          <w:sz w:val="24"/>
          <w:szCs w:val="24"/>
        </w:rPr>
        <w:t xml:space="preserve">3 </w:t>
      </w:r>
      <w:r>
        <w:rPr>
          <w:rFonts w:cs="Arial"/>
          <w:sz w:val="24"/>
          <w:szCs w:val="24"/>
        </w:rPr>
        <w:tab/>
      </w:r>
      <w:r w:rsidRPr="00DA5D4F">
        <w:rPr>
          <w:rFonts w:cs="Arial"/>
          <w:sz w:val="24"/>
          <w:szCs w:val="24"/>
        </w:rPr>
        <w:t>Management are required in the case of an employee with a disability-related illness take all reasonable steps in terms of making an accommodation to facilitate the employee’s return to work consistent with, for example, specialist occupational health advice and service requirements.</w:t>
      </w:r>
    </w:p>
    <w:p w14:paraId="30C3E5D5" w14:textId="77777777" w:rsidR="00A1593C" w:rsidRPr="00DA5D4F" w:rsidRDefault="00A1593C" w:rsidP="00A1593C">
      <w:pPr>
        <w:ind w:left="720" w:hanging="720"/>
        <w:rPr>
          <w:rFonts w:cs="Arial"/>
          <w:sz w:val="24"/>
          <w:szCs w:val="24"/>
        </w:rPr>
      </w:pPr>
      <w:r>
        <w:rPr>
          <w:rFonts w:cs="Arial"/>
          <w:sz w:val="24"/>
          <w:szCs w:val="24"/>
        </w:rPr>
        <w:t>5.</w:t>
      </w:r>
      <w:r w:rsidRPr="00DA5D4F">
        <w:rPr>
          <w:rFonts w:cs="Arial"/>
          <w:sz w:val="24"/>
          <w:szCs w:val="24"/>
        </w:rPr>
        <w:t xml:space="preserve">4 </w:t>
      </w:r>
      <w:r>
        <w:rPr>
          <w:rFonts w:cs="Arial"/>
          <w:sz w:val="24"/>
          <w:szCs w:val="24"/>
        </w:rPr>
        <w:tab/>
      </w:r>
      <w:r w:rsidRPr="00DA5D4F">
        <w:rPr>
          <w:rFonts w:cs="Arial"/>
          <w:sz w:val="24"/>
          <w:szCs w:val="24"/>
        </w:rPr>
        <w:t xml:space="preserve">Where the delay is of a duration </w:t>
      </w:r>
      <w:proofErr w:type="gramStart"/>
      <w:r w:rsidRPr="00DA5D4F">
        <w:rPr>
          <w:rFonts w:cs="Arial"/>
          <w:sz w:val="24"/>
          <w:szCs w:val="24"/>
        </w:rPr>
        <w:t>in excess of</w:t>
      </w:r>
      <w:proofErr w:type="gramEnd"/>
      <w:r w:rsidRPr="00DA5D4F">
        <w:rPr>
          <w:rFonts w:cs="Arial"/>
          <w:sz w:val="24"/>
          <w:szCs w:val="24"/>
        </w:rPr>
        <w:t xml:space="preserve"> the period of time currently allowed for a referral to an Occupational Physician.</w:t>
      </w:r>
    </w:p>
    <w:p w14:paraId="3DA6036D" w14:textId="77777777" w:rsidR="00A1593C" w:rsidRDefault="00A1593C" w:rsidP="00A1593C">
      <w:pPr>
        <w:ind w:left="720" w:hanging="720"/>
        <w:rPr>
          <w:rFonts w:cs="Arial"/>
          <w:sz w:val="24"/>
          <w:szCs w:val="24"/>
        </w:rPr>
      </w:pPr>
      <w:r w:rsidRPr="00DA5D4F">
        <w:rPr>
          <w:rFonts w:cs="Arial"/>
          <w:sz w:val="24"/>
          <w:szCs w:val="24"/>
        </w:rPr>
        <w:t>5</w:t>
      </w:r>
      <w:r>
        <w:rPr>
          <w:rFonts w:cs="Arial"/>
          <w:sz w:val="24"/>
          <w:szCs w:val="24"/>
        </w:rPr>
        <w:t>.5</w:t>
      </w:r>
      <w:r w:rsidRPr="00DA5D4F">
        <w:rPr>
          <w:rFonts w:cs="Arial"/>
          <w:sz w:val="24"/>
          <w:szCs w:val="24"/>
        </w:rPr>
        <w:t xml:space="preserve"> </w:t>
      </w:r>
      <w:r>
        <w:rPr>
          <w:rFonts w:cs="Arial"/>
          <w:sz w:val="24"/>
          <w:szCs w:val="24"/>
        </w:rPr>
        <w:tab/>
      </w:r>
      <w:r w:rsidRPr="00DA5D4F">
        <w:rPr>
          <w:rFonts w:cs="Arial"/>
          <w:sz w:val="24"/>
          <w:szCs w:val="24"/>
        </w:rPr>
        <w:t xml:space="preserve">Where the delay is of a duration </w:t>
      </w:r>
      <w:proofErr w:type="gramStart"/>
      <w:r w:rsidRPr="00DA5D4F">
        <w:rPr>
          <w:rFonts w:cs="Arial"/>
          <w:sz w:val="24"/>
          <w:szCs w:val="24"/>
        </w:rPr>
        <w:t>in excess of</w:t>
      </w:r>
      <w:proofErr w:type="gramEnd"/>
      <w:r w:rsidRPr="00DA5D4F">
        <w:rPr>
          <w:rFonts w:cs="Arial"/>
          <w:sz w:val="24"/>
          <w:szCs w:val="24"/>
        </w:rPr>
        <w:t xml:space="preserve"> the normal waiting time to be seen by an Occupational Physician.</w:t>
      </w:r>
    </w:p>
    <w:p w14:paraId="61CDCEAD" w14:textId="77777777" w:rsidR="00A1593C" w:rsidRDefault="00A1593C" w:rsidP="00A1593C">
      <w:pPr>
        <w:rPr>
          <w:rFonts w:cs="Arial"/>
          <w:sz w:val="24"/>
          <w:szCs w:val="24"/>
        </w:rPr>
      </w:pPr>
    </w:p>
    <w:p w14:paraId="46490603" w14:textId="77777777" w:rsidR="00A1593C" w:rsidRPr="00DA5D4F" w:rsidRDefault="00A1593C" w:rsidP="00A1593C">
      <w:pPr>
        <w:rPr>
          <w:rFonts w:cs="Arial"/>
          <w:b/>
          <w:sz w:val="24"/>
          <w:szCs w:val="24"/>
        </w:rPr>
      </w:pPr>
      <w:r w:rsidRPr="00DA5D4F">
        <w:rPr>
          <w:rFonts w:cs="Arial"/>
          <w:b/>
          <w:sz w:val="24"/>
          <w:szCs w:val="24"/>
        </w:rPr>
        <w:t>6</w:t>
      </w:r>
      <w:r>
        <w:rPr>
          <w:rFonts w:cs="Arial"/>
          <w:b/>
          <w:sz w:val="24"/>
          <w:szCs w:val="24"/>
        </w:rPr>
        <w:t>.</w:t>
      </w:r>
      <w:r>
        <w:rPr>
          <w:rFonts w:cs="Arial"/>
          <w:b/>
          <w:sz w:val="24"/>
          <w:szCs w:val="24"/>
        </w:rPr>
        <w:tab/>
      </w:r>
      <w:r w:rsidRPr="00DA5D4F">
        <w:rPr>
          <w:rFonts w:cs="Arial"/>
          <w:b/>
          <w:sz w:val="24"/>
          <w:szCs w:val="24"/>
        </w:rPr>
        <w:t xml:space="preserve"> RETURN TO WORK</w:t>
      </w:r>
    </w:p>
    <w:p w14:paraId="5ECC324E" w14:textId="77777777" w:rsidR="00A1593C" w:rsidRDefault="00A1593C" w:rsidP="00825D9D">
      <w:pPr>
        <w:ind w:left="720" w:hanging="720"/>
        <w:rPr>
          <w:rFonts w:cs="Arial"/>
          <w:sz w:val="24"/>
          <w:szCs w:val="24"/>
        </w:rPr>
      </w:pPr>
      <w:r w:rsidRPr="00DA5D4F">
        <w:rPr>
          <w:rFonts w:cs="Arial"/>
          <w:sz w:val="24"/>
          <w:szCs w:val="24"/>
        </w:rPr>
        <w:t xml:space="preserve">6.1 </w:t>
      </w:r>
      <w:r>
        <w:rPr>
          <w:rFonts w:cs="Arial"/>
          <w:sz w:val="24"/>
          <w:szCs w:val="24"/>
        </w:rPr>
        <w:tab/>
      </w:r>
      <w:r w:rsidRPr="00DA5D4F">
        <w:rPr>
          <w:rFonts w:cs="Arial"/>
          <w:sz w:val="24"/>
          <w:szCs w:val="24"/>
        </w:rPr>
        <w:t>There will be no financial loss to an employee in circumstances where the employee has fully engaged with the process around the management of sick leave and their own consultant has certified fitness to return to work, but the employee has not been able to return to work because there is a delay in the employer referring the employee to the Occupational Health Physician, or a delay in being seen by this Occupational Health Physician. Pay will be restored appropriately.</w:t>
      </w:r>
    </w:p>
    <w:p w14:paraId="6BB9E253" w14:textId="77777777" w:rsidR="00A1593C" w:rsidRDefault="00A1593C" w:rsidP="00A1593C">
      <w:pPr>
        <w:rPr>
          <w:rFonts w:cs="Arial"/>
          <w:sz w:val="24"/>
          <w:szCs w:val="24"/>
        </w:rPr>
      </w:pPr>
    </w:p>
    <w:p w14:paraId="29C275ED" w14:textId="77777777" w:rsidR="00A1593C" w:rsidRPr="00DA5D4F" w:rsidRDefault="00A1593C" w:rsidP="00A1593C">
      <w:pPr>
        <w:rPr>
          <w:rFonts w:cs="Arial"/>
          <w:b/>
          <w:sz w:val="24"/>
          <w:szCs w:val="24"/>
        </w:rPr>
      </w:pPr>
      <w:r w:rsidRPr="00DA5D4F">
        <w:rPr>
          <w:rFonts w:cs="Arial"/>
          <w:b/>
          <w:sz w:val="24"/>
          <w:szCs w:val="24"/>
        </w:rPr>
        <w:t>7</w:t>
      </w:r>
      <w:r>
        <w:rPr>
          <w:rFonts w:cs="Arial"/>
          <w:b/>
          <w:sz w:val="24"/>
          <w:szCs w:val="24"/>
        </w:rPr>
        <w:t>.</w:t>
      </w:r>
      <w:r>
        <w:rPr>
          <w:rFonts w:cs="Arial"/>
          <w:b/>
          <w:sz w:val="24"/>
          <w:szCs w:val="24"/>
        </w:rPr>
        <w:tab/>
      </w:r>
      <w:r w:rsidRPr="00DA5D4F">
        <w:rPr>
          <w:rFonts w:cs="Arial"/>
          <w:b/>
          <w:sz w:val="24"/>
          <w:szCs w:val="24"/>
        </w:rPr>
        <w:t>TEMPORARY REHABILITATION REMUNERATION</w:t>
      </w:r>
    </w:p>
    <w:p w14:paraId="7D629D8F" w14:textId="77777777" w:rsidR="00A1593C" w:rsidRPr="00DA5D4F" w:rsidRDefault="00A1593C" w:rsidP="00A1593C">
      <w:pPr>
        <w:ind w:left="720" w:hanging="720"/>
        <w:rPr>
          <w:rFonts w:cs="Arial"/>
          <w:sz w:val="24"/>
          <w:szCs w:val="24"/>
        </w:rPr>
      </w:pPr>
      <w:r w:rsidRPr="00DA5D4F">
        <w:rPr>
          <w:rFonts w:cs="Arial"/>
          <w:sz w:val="24"/>
          <w:szCs w:val="24"/>
        </w:rPr>
        <w:lastRenderedPageBreak/>
        <w:t xml:space="preserve">7.1 </w:t>
      </w:r>
      <w:r>
        <w:rPr>
          <w:rFonts w:cs="Arial"/>
          <w:sz w:val="24"/>
          <w:szCs w:val="24"/>
        </w:rPr>
        <w:tab/>
      </w:r>
      <w:r w:rsidRPr="00DA5D4F">
        <w:rPr>
          <w:rFonts w:cs="Arial"/>
          <w:sz w:val="24"/>
          <w:szCs w:val="24"/>
        </w:rPr>
        <w:t>In advance of the termination of the payment of Temporary Rehabilitation Remuneration (TRR), following payment of paid sick leave and TRR for a period not exceeding two years, local management shall secure expert specialist occupational health advice on whether there is any reasonable prospect of the employee returning to work within a foreseeable timeframe. Where a reasonable prospect of return to work is confirmed by the Occupational Health Specialist the payment of TRR may be continued subject to review at six-monthly intervals for a further period not exceeding two years.</w:t>
      </w:r>
    </w:p>
    <w:p w14:paraId="23DE523C" w14:textId="77777777" w:rsidR="00A1593C" w:rsidRDefault="00A1593C" w:rsidP="00A1593C"/>
    <w:sectPr w:rsidR="00A1593C" w:rsidSect="00F765C2">
      <w:headerReference w:type="default" r:id="rId11"/>
      <w:footerReference w:type="default" r:id="rId12"/>
      <w:headerReference w:type="first" r:id="rId13"/>
      <w:footerReference w:type="first" r:id="rId14"/>
      <w:pgSz w:w="12240" w:h="15840"/>
      <w:pgMar w:top="0" w:right="1440" w:bottom="709" w:left="1440" w:header="142" w:footer="1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E4158" w14:textId="77777777" w:rsidR="00F765C2" w:rsidRDefault="00F765C2" w:rsidP="003D74B2">
      <w:pPr>
        <w:spacing w:after="0" w:line="240" w:lineRule="auto"/>
      </w:pPr>
      <w:r>
        <w:separator/>
      </w:r>
    </w:p>
  </w:endnote>
  <w:endnote w:type="continuationSeparator" w:id="0">
    <w:p w14:paraId="36E3C49E" w14:textId="77777777" w:rsidR="00F765C2" w:rsidRDefault="00F765C2" w:rsidP="003D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4DB8E9" w14:paraId="26693D4A" w14:textId="77777777" w:rsidTr="244DB8E9">
      <w:tc>
        <w:tcPr>
          <w:tcW w:w="3120" w:type="dxa"/>
        </w:tcPr>
        <w:p w14:paraId="350C21FD" w14:textId="5C27E19E" w:rsidR="244DB8E9" w:rsidRDefault="244DB8E9" w:rsidP="244DB8E9">
          <w:pPr>
            <w:pStyle w:val="Header"/>
            <w:ind w:left="-115"/>
          </w:pPr>
        </w:p>
      </w:tc>
      <w:tc>
        <w:tcPr>
          <w:tcW w:w="3120" w:type="dxa"/>
        </w:tcPr>
        <w:p w14:paraId="6A3B33C0" w14:textId="4B4850EF" w:rsidR="244DB8E9" w:rsidRDefault="244DB8E9" w:rsidP="244DB8E9">
          <w:pPr>
            <w:pStyle w:val="Header"/>
            <w:jc w:val="center"/>
          </w:pPr>
        </w:p>
      </w:tc>
      <w:tc>
        <w:tcPr>
          <w:tcW w:w="3120" w:type="dxa"/>
        </w:tcPr>
        <w:p w14:paraId="00A97D52" w14:textId="5F449579" w:rsidR="244DB8E9" w:rsidRDefault="244DB8E9" w:rsidP="244DB8E9">
          <w:pPr>
            <w:pStyle w:val="Header"/>
            <w:ind w:right="-115"/>
            <w:jc w:val="right"/>
          </w:pPr>
        </w:p>
      </w:tc>
    </w:tr>
  </w:tbl>
  <w:p w14:paraId="22357B16" w14:textId="5F8B9E17" w:rsidR="244DB8E9" w:rsidRDefault="244DB8E9" w:rsidP="244DB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24" w:type="dxa"/>
      <w:tblInd w:w="-108" w:type="dxa"/>
      <w:tblBorders>
        <w:top w:val="nil"/>
        <w:left w:val="nil"/>
        <w:bottom w:val="nil"/>
        <w:right w:val="nil"/>
      </w:tblBorders>
      <w:tblLayout w:type="fixed"/>
      <w:tblLook w:val="0000" w:firstRow="0" w:lastRow="0" w:firstColumn="0" w:lastColumn="0" w:noHBand="0" w:noVBand="0"/>
    </w:tblPr>
    <w:tblGrid>
      <w:gridCol w:w="5262"/>
      <w:gridCol w:w="5262"/>
    </w:tblGrid>
    <w:tr w:rsidR="00825D9D" w:rsidRPr="00E43EF1" w14:paraId="6033FC41" w14:textId="77777777" w:rsidTr="006B7553">
      <w:trPr>
        <w:trHeight w:val="80"/>
      </w:trPr>
      <w:tc>
        <w:tcPr>
          <w:tcW w:w="5262" w:type="dxa"/>
        </w:tcPr>
        <w:p w14:paraId="79DDA61F" w14:textId="77777777" w:rsidR="00825D9D" w:rsidRPr="00E43EF1" w:rsidRDefault="00825D9D" w:rsidP="00825D9D">
          <w:pPr>
            <w:pStyle w:val="Default"/>
            <w:rPr>
              <w:sz w:val="16"/>
              <w:szCs w:val="16"/>
            </w:rPr>
          </w:pPr>
          <w:r w:rsidRPr="00E43EF1">
            <w:rPr>
              <w:sz w:val="16"/>
              <w:szCs w:val="16"/>
            </w:rPr>
            <w:t>Critical Illness Form</w:t>
          </w:r>
        </w:p>
      </w:tc>
      <w:tc>
        <w:tcPr>
          <w:tcW w:w="5262" w:type="dxa"/>
        </w:tcPr>
        <w:p w14:paraId="7143E7AB" w14:textId="31F64050" w:rsidR="00825D9D" w:rsidRPr="00E43EF1" w:rsidRDefault="00825D9D" w:rsidP="00825D9D">
          <w:pPr>
            <w:pStyle w:val="Default"/>
            <w:rPr>
              <w:sz w:val="16"/>
              <w:szCs w:val="16"/>
            </w:rPr>
          </w:pPr>
          <w:r w:rsidRPr="00E43EF1">
            <w:rPr>
              <w:sz w:val="16"/>
              <w:szCs w:val="16"/>
            </w:rPr>
            <w:t xml:space="preserve">                 </w:t>
          </w:r>
          <w:r w:rsidR="00B6385E">
            <w:rPr>
              <w:sz w:val="16"/>
              <w:szCs w:val="16"/>
            </w:rPr>
            <w:t xml:space="preserve">         Document number CF047.</w:t>
          </w:r>
          <w:r w:rsidR="00544800">
            <w:rPr>
              <w:sz w:val="16"/>
              <w:szCs w:val="16"/>
            </w:rPr>
            <w:t>3</w:t>
          </w:r>
        </w:p>
      </w:tc>
    </w:tr>
  </w:tbl>
  <w:p w14:paraId="6DFB9E20" w14:textId="77777777" w:rsidR="00825D9D" w:rsidRDefault="00825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8F811" w14:textId="77777777" w:rsidR="00F765C2" w:rsidRDefault="00F765C2" w:rsidP="003D74B2">
      <w:pPr>
        <w:spacing w:after="0" w:line="240" w:lineRule="auto"/>
      </w:pPr>
      <w:r>
        <w:separator/>
      </w:r>
    </w:p>
  </w:footnote>
  <w:footnote w:type="continuationSeparator" w:id="0">
    <w:p w14:paraId="2943B8C6" w14:textId="77777777" w:rsidR="00F765C2" w:rsidRDefault="00F765C2" w:rsidP="003D7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4DB8E9" w14:paraId="5E671211" w14:textId="77777777" w:rsidTr="244DB8E9">
      <w:tc>
        <w:tcPr>
          <w:tcW w:w="3120" w:type="dxa"/>
        </w:tcPr>
        <w:p w14:paraId="7C026341" w14:textId="77F85CAB" w:rsidR="244DB8E9" w:rsidRDefault="244DB8E9" w:rsidP="244DB8E9">
          <w:pPr>
            <w:pStyle w:val="Header"/>
            <w:ind w:left="-115"/>
          </w:pPr>
        </w:p>
      </w:tc>
      <w:tc>
        <w:tcPr>
          <w:tcW w:w="3120" w:type="dxa"/>
        </w:tcPr>
        <w:p w14:paraId="4141D45A" w14:textId="6B9A5E61" w:rsidR="244DB8E9" w:rsidRDefault="244DB8E9" w:rsidP="244DB8E9">
          <w:pPr>
            <w:pStyle w:val="Header"/>
            <w:jc w:val="center"/>
          </w:pPr>
        </w:p>
      </w:tc>
      <w:tc>
        <w:tcPr>
          <w:tcW w:w="3120" w:type="dxa"/>
        </w:tcPr>
        <w:p w14:paraId="7C2C5B82" w14:textId="7E4E54A9" w:rsidR="244DB8E9" w:rsidRDefault="244DB8E9" w:rsidP="244DB8E9">
          <w:pPr>
            <w:pStyle w:val="Header"/>
            <w:ind w:right="-115"/>
            <w:jc w:val="right"/>
          </w:pPr>
        </w:p>
      </w:tc>
    </w:tr>
  </w:tbl>
  <w:p w14:paraId="0C404527" w14:textId="6E54D706" w:rsidR="244DB8E9" w:rsidRDefault="244DB8E9" w:rsidP="244DB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56223" w14:textId="77777777" w:rsidR="00825D9D" w:rsidRPr="00B6385E" w:rsidRDefault="244DB8E9" w:rsidP="00B6385E">
    <w:pPr>
      <w:pStyle w:val="Header"/>
    </w:pPr>
    <w:r>
      <w:rPr>
        <w:noProof/>
      </w:rPr>
      <w:drawing>
        <wp:inline distT="0" distB="0" distL="0" distR="0" wp14:anchorId="0621F718" wp14:editId="2D4FCFF5">
          <wp:extent cx="1490802" cy="681487"/>
          <wp:effectExtent l="0" t="0" r="0" b="4445"/>
          <wp:docPr id="7" name="Picture 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490802" cy="6814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175DF"/>
    <w:multiLevelType w:val="hybridMultilevel"/>
    <w:tmpl w:val="91F267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53B29D7"/>
    <w:multiLevelType w:val="hybridMultilevel"/>
    <w:tmpl w:val="AE208B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10276363">
    <w:abstractNumId w:val="1"/>
  </w:num>
  <w:num w:numId="2" w16cid:durableId="181614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D7"/>
    <w:rsid w:val="000665FC"/>
    <w:rsid w:val="000703F5"/>
    <w:rsid w:val="00072C01"/>
    <w:rsid w:val="000840D3"/>
    <w:rsid w:val="00090C41"/>
    <w:rsid w:val="0011498F"/>
    <w:rsid w:val="001B1D67"/>
    <w:rsid w:val="00246AD2"/>
    <w:rsid w:val="002A2506"/>
    <w:rsid w:val="002D6749"/>
    <w:rsid w:val="00312527"/>
    <w:rsid w:val="0033774A"/>
    <w:rsid w:val="00380BA4"/>
    <w:rsid w:val="003B5CED"/>
    <w:rsid w:val="003D74B2"/>
    <w:rsid w:val="00444C89"/>
    <w:rsid w:val="004916E7"/>
    <w:rsid w:val="005430D7"/>
    <w:rsid w:val="00544800"/>
    <w:rsid w:val="00577909"/>
    <w:rsid w:val="005900D1"/>
    <w:rsid w:val="005C2FFD"/>
    <w:rsid w:val="005F32FF"/>
    <w:rsid w:val="006820EC"/>
    <w:rsid w:val="006A2D4C"/>
    <w:rsid w:val="00785E58"/>
    <w:rsid w:val="007B47F3"/>
    <w:rsid w:val="007D6B29"/>
    <w:rsid w:val="00825D9D"/>
    <w:rsid w:val="00913E9C"/>
    <w:rsid w:val="00915455"/>
    <w:rsid w:val="00961DC3"/>
    <w:rsid w:val="0099179A"/>
    <w:rsid w:val="009D2847"/>
    <w:rsid w:val="00A1593C"/>
    <w:rsid w:val="00AF3F74"/>
    <w:rsid w:val="00B6385E"/>
    <w:rsid w:val="00B63E3D"/>
    <w:rsid w:val="00C94166"/>
    <w:rsid w:val="00CF4E13"/>
    <w:rsid w:val="00E43EF1"/>
    <w:rsid w:val="00E821BA"/>
    <w:rsid w:val="00EF5345"/>
    <w:rsid w:val="00F765C2"/>
    <w:rsid w:val="00F86C32"/>
    <w:rsid w:val="244DB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19883"/>
  <w15:chartTrackingRefBased/>
  <w15:docId w15:val="{8CEA2C9E-DCA9-4033-80C6-57549EE0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30D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54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0BA4"/>
    <w:rPr>
      <w:color w:val="808080"/>
    </w:rPr>
  </w:style>
  <w:style w:type="paragraph" w:styleId="BalloonText">
    <w:name w:val="Balloon Text"/>
    <w:basedOn w:val="Normal"/>
    <w:link w:val="BalloonTextChar"/>
    <w:uiPriority w:val="99"/>
    <w:semiHidden/>
    <w:unhideWhenUsed/>
    <w:rsid w:val="00915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455"/>
    <w:rPr>
      <w:rFonts w:ascii="Segoe UI" w:hAnsi="Segoe UI" w:cs="Segoe UI"/>
      <w:sz w:val="18"/>
      <w:szCs w:val="18"/>
    </w:rPr>
  </w:style>
  <w:style w:type="paragraph" w:styleId="Header">
    <w:name w:val="header"/>
    <w:basedOn w:val="Normal"/>
    <w:link w:val="HeaderChar"/>
    <w:uiPriority w:val="99"/>
    <w:unhideWhenUsed/>
    <w:rsid w:val="003D7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4B2"/>
  </w:style>
  <w:style w:type="paragraph" w:styleId="Footer">
    <w:name w:val="footer"/>
    <w:basedOn w:val="Normal"/>
    <w:link w:val="FooterChar"/>
    <w:uiPriority w:val="99"/>
    <w:unhideWhenUsed/>
    <w:rsid w:val="003D7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4B2"/>
  </w:style>
  <w:style w:type="paragraph" w:styleId="ListParagraph">
    <w:name w:val="List Paragraph"/>
    <w:basedOn w:val="Normal"/>
    <w:uiPriority w:val="34"/>
    <w:qFormat/>
    <w:rsid w:val="00A1593C"/>
    <w:pPr>
      <w:ind w:left="720"/>
      <w:contextualSpacing/>
    </w:pPr>
    <w:rPr>
      <w:lang w:val="en-IE"/>
    </w:rPr>
  </w:style>
  <w:style w:type="paragraph" w:styleId="Revision">
    <w:name w:val="Revision"/>
    <w:hidden/>
    <w:uiPriority w:val="99"/>
    <w:semiHidden/>
    <w:rsid w:val="005C2F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84539DED9A2F4FA566B15FFFDE8743" ma:contentTypeVersion="8" ma:contentTypeDescription="Create a new document." ma:contentTypeScope="" ma:versionID="764222fbb2b9e7def1520f7792186752">
  <xsd:schema xmlns:xsd="http://www.w3.org/2001/XMLSchema" xmlns:xs="http://www.w3.org/2001/XMLSchema" xmlns:p="http://schemas.microsoft.com/office/2006/metadata/properties" xmlns:ns2="60f6f121-ca16-4e8b-aa5f-2dee60e36d9f" xmlns:ns3="77cc4787-355f-4046-9859-e106b1aec91d" targetNamespace="http://schemas.microsoft.com/office/2006/metadata/properties" ma:root="true" ma:fieldsID="cb1564a4861ef31c419adbe26821427c" ns2:_="" ns3:_="">
    <xsd:import namespace="60f6f121-ca16-4e8b-aa5f-2dee60e36d9f"/>
    <xsd:import namespace="77cc4787-355f-4046-9859-e106b1aec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6f121-ca16-4e8b-aa5f-2dee60e3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cc4787-355f-4046-9859-e106b1aec9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88CA1-86C1-4CA1-89F8-422F961C22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AE6996-96B4-41F8-AC06-4654FD696AF7}">
  <ds:schemaRefs>
    <ds:schemaRef ds:uri="http://schemas.openxmlformats.org/officeDocument/2006/bibliography"/>
  </ds:schemaRefs>
</ds:datastoreItem>
</file>

<file path=customXml/itemProps3.xml><?xml version="1.0" encoding="utf-8"?>
<ds:datastoreItem xmlns:ds="http://schemas.openxmlformats.org/officeDocument/2006/customXml" ds:itemID="{30C5D80D-C265-4D59-ACAB-3CAF0FC90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6f121-ca16-4e8b-aa5f-2dee60e36d9f"/>
    <ds:schemaRef ds:uri="77cc4787-355f-4046-9859-e106b1aec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ADC25-F5E3-4C35-8B2C-169A807EA5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1217</Words>
  <Characters>6942</Characters>
  <Application>Microsoft Office Word</Application>
  <DocSecurity>0</DocSecurity>
  <Lines>57</Lines>
  <Paragraphs>16</Paragraphs>
  <ScaleCrop>false</ScaleCrop>
  <Company>University of Limerick</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Yvonne.Coughlan</dc:creator>
  <cp:keywords/>
  <dc:description/>
  <cp:lastModifiedBy>Yvonne.Coughlan</cp:lastModifiedBy>
  <cp:revision>9</cp:revision>
  <cp:lastPrinted>2019-02-28T15:11:00Z</cp:lastPrinted>
  <dcterms:created xsi:type="dcterms:W3CDTF">2024-04-25T09:27:00Z</dcterms:created>
  <dcterms:modified xsi:type="dcterms:W3CDTF">2024-04-25T12:02:00Z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0x0101008D84539DED9A2F4FA566B15FFFDE8743</vt:lpwstr>
  </property>
  <property fmtid="{D5CDD505-2E9C-101B-9397-08002B2CF9AE}" pid="3" name="Order">
    <vt:r8>7800</vt:r8>
  </property>
</Properties>
</file>