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7501D" w14:textId="31FECCFD" w:rsidR="003118F7" w:rsidRDefault="1C22A64F" w:rsidP="00CC3F49">
      <w:pPr>
        <w:spacing w:line="240" w:lineRule="auto"/>
        <w:jc w:val="center"/>
        <w:rPr>
          <w:rFonts w:asciiTheme="majorHAnsi" w:eastAsiaTheme="majorEastAsia" w:hAnsiTheme="majorHAnsi" w:cstheme="majorBidi"/>
          <w:b/>
          <w:color w:val="005335"/>
          <w:sz w:val="32"/>
          <w:szCs w:val="32"/>
        </w:rPr>
      </w:pPr>
      <w:bookmarkStart w:id="0" w:name="_GoBack"/>
      <w:bookmarkEnd w:id="0"/>
      <w:r>
        <w:rPr>
          <w:noProof/>
          <w:lang w:eastAsia="ja-JP"/>
        </w:rPr>
        <w:drawing>
          <wp:inline distT="0" distB="0" distL="0" distR="0" wp14:anchorId="7FA6ACD5" wp14:editId="60A6804E">
            <wp:extent cx="2962656" cy="826788"/>
            <wp:effectExtent l="0" t="0" r="9525" b="0"/>
            <wp:docPr id="519339562" name="Picture 519339562" descr="Student Affairs Di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65722" cy="827644"/>
                    </a:xfrm>
                    <a:prstGeom prst="rect">
                      <a:avLst/>
                    </a:prstGeom>
                  </pic:spPr>
                </pic:pic>
              </a:graphicData>
            </a:graphic>
          </wp:inline>
        </w:drawing>
      </w:r>
      <w:r w:rsidR="003118F7">
        <w:br/>
      </w:r>
    </w:p>
    <w:p w14:paraId="001A2432" w14:textId="4AE9CB68" w:rsidR="003118F7" w:rsidRPr="00CC3F49" w:rsidRDefault="384C2B55" w:rsidP="00CC3F49">
      <w:pPr>
        <w:spacing w:line="240" w:lineRule="auto"/>
        <w:jc w:val="center"/>
        <w:rPr>
          <w:rFonts w:eastAsiaTheme="majorEastAsia" w:cstheme="minorHAnsi"/>
          <w:b/>
          <w:bCs/>
          <w:color w:val="005335"/>
          <w:sz w:val="32"/>
          <w:szCs w:val="32"/>
        </w:rPr>
      </w:pPr>
      <w:r w:rsidRPr="00CC3F49">
        <w:rPr>
          <w:rFonts w:eastAsiaTheme="majorEastAsia" w:cstheme="minorHAnsi"/>
          <w:b/>
          <w:bCs/>
          <w:color w:val="005335"/>
          <w:sz w:val="32"/>
          <w:szCs w:val="32"/>
        </w:rPr>
        <w:t>Training &amp; Development Process</w:t>
      </w:r>
    </w:p>
    <w:p w14:paraId="20BED156" w14:textId="77777777" w:rsidR="003118F7" w:rsidRPr="00CC3F49" w:rsidRDefault="003118F7" w:rsidP="00CC3F49">
      <w:pPr>
        <w:pStyle w:val="Heading1"/>
        <w:spacing w:before="0" w:after="120" w:line="240" w:lineRule="auto"/>
        <w:rPr>
          <w:rFonts w:asciiTheme="minorHAnsi" w:hAnsiTheme="minorHAnsi" w:cstheme="minorHAnsi"/>
          <w:color w:val="005335"/>
          <w:sz w:val="24"/>
          <w:szCs w:val="24"/>
        </w:rPr>
      </w:pPr>
      <w:r w:rsidRPr="00CC3F49">
        <w:rPr>
          <w:rFonts w:asciiTheme="minorHAnsi" w:hAnsiTheme="minorHAnsi" w:cstheme="minorHAnsi"/>
          <w:color w:val="005335"/>
          <w:sz w:val="24"/>
          <w:szCs w:val="24"/>
        </w:rPr>
        <w:t>PURPOSE</w:t>
      </w:r>
    </w:p>
    <w:p w14:paraId="74197CF3" w14:textId="58F27963" w:rsidR="003118F7" w:rsidRDefault="0C43D1CD" w:rsidP="00CC3F49">
      <w:pPr>
        <w:spacing w:line="240" w:lineRule="auto"/>
      </w:pPr>
      <w:r>
        <w:t>The purpose of this process is to ensure that all staff are aware of the requirement to undertake HR mandatory training and that an effective process is in place for the identification and provision of</w:t>
      </w:r>
      <w:r w:rsidR="06143AF5">
        <w:t xml:space="preserve"> both division- and</w:t>
      </w:r>
      <w:r>
        <w:t xml:space="preserve"> unit-level training requirements for each member of staff in the Student Affairs division. The requirements identified for each individual are based on the individual’s competence, qualifications and experience.</w:t>
      </w:r>
    </w:p>
    <w:p w14:paraId="02EB378F" w14:textId="77777777" w:rsidR="003118F7" w:rsidRDefault="003118F7" w:rsidP="00CC3F49">
      <w:pPr>
        <w:spacing w:line="240" w:lineRule="auto"/>
      </w:pPr>
    </w:p>
    <w:p w14:paraId="7A724E9F" w14:textId="77777777" w:rsidR="003118F7" w:rsidRPr="004A13E8" w:rsidRDefault="003118F7" w:rsidP="00CC3F49">
      <w:pPr>
        <w:pStyle w:val="Heading1"/>
        <w:spacing w:before="0" w:after="120" w:line="240" w:lineRule="auto"/>
        <w:rPr>
          <w:rFonts w:asciiTheme="minorHAnsi" w:hAnsiTheme="minorHAnsi" w:cstheme="minorHAnsi"/>
          <w:color w:val="005335"/>
          <w:sz w:val="24"/>
          <w:szCs w:val="24"/>
        </w:rPr>
      </w:pPr>
      <w:r w:rsidRPr="004A13E8">
        <w:rPr>
          <w:rFonts w:asciiTheme="minorHAnsi" w:hAnsiTheme="minorHAnsi" w:cstheme="minorHAnsi"/>
          <w:color w:val="005335"/>
          <w:sz w:val="24"/>
          <w:szCs w:val="24"/>
        </w:rPr>
        <w:t>PROCEDURE</w:t>
      </w:r>
    </w:p>
    <w:p w14:paraId="33F08CDC" w14:textId="77777777" w:rsidR="003118F7" w:rsidRPr="001B3723" w:rsidRDefault="003118F7" w:rsidP="00CC3F49">
      <w:pPr>
        <w:spacing w:line="240" w:lineRule="auto"/>
        <w:rPr>
          <w:b/>
          <w:bCs/>
        </w:rPr>
      </w:pPr>
      <w:r>
        <w:rPr>
          <w:b/>
          <w:bCs/>
        </w:rPr>
        <w:t xml:space="preserve">Division </w:t>
      </w:r>
      <w:r w:rsidRPr="001B3723">
        <w:rPr>
          <w:b/>
          <w:bCs/>
        </w:rPr>
        <w:t>Level Training</w:t>
      </w:r>
    </w:p>
    <w:p w14:paraId="3E85ECF3" w14:textId="1AD6CC63" w:rsidR="003118F7" w:rsidRDefault="0C43D1CD" w:rsidP="00CC3F49">
      <w:pPr>
        <w:spacing w:line="240" w:lineRule="auto"/>
      </w:pPr>
      <w:r>
        <w:t xml:space="preserve">On commencement of employment, the Head of Unit </w:t>
      </w:r>
      <w:r w:rsidR="2EA960BC">
        <w:t xml:space="preserve">or team lead </w:t>
      </w:r>
      <w:r>
        <w:t>will arrange a general induction programme for new staff. Typically, induction training for new staff will include:</w:t>
      </w:r>
    </w:p>
    <w:p w14:paraId="6B9061E7" w14:textId="6996E0FE" w:rsidR="003118F7" w:rsidRDefault="7ADDAD70" w:rsidP="00CC3F49">
      <w:pPr>
        <w:pStyle w:val="ListParagraph"/>
        <w:numPr>
          <w:ilvl w:val="0"/>
          <w:numId w:val="1"/>
        </w:numPr>
        <w:spacing w:line="240" w:lineRule="auto"/>
      </w:pPr>
      <w:r>
        <w:t>In</w:t>
      </w:r>
      <w:r w:rsidR="006E4AD0">
        <w:t>troduction to staff within the u</w:t>
      </w:r>
      <w:r>
        <w:t>nit</w:t>
      </w:r>
      <w:r w:rsidR="006E4AD0">
        <w:t xml:space="preserve"> and division</w:t>
      </w:r>
      <w:r>
        <w:t>.</w:t>
      </w:r>
    </w:p>
    <w:p w14:paraId="22E6053C" w14:textId="77777777" w:rsidR="003118F7" w:rsidRDefault="003118F7" w:rsidP="00CC3F49">
      <w:pPr>
        <w:pStyle w:val="ListParagraph"/>
        <w:numPr>
          <w:ilvl w:val="0"/>
          <w:numId w:val="1"/>
        </w:numPr>
        <w:spacing w:line="240" w:lineRule="auto"/>
      </w:pPr>
      <w:r>
        <w:t>Introduction to HR and supply of staff ID card.</w:t>
      </w:r>
    </w:p>
    <w:p w14:paraId="3C24F338" w14:textId="77777777" w:rsidR="003118F7" w:rsidRDefault="003118F7" w:rsidP="00CC3F49">
      <w:pPr>
        <w:pStyle w:val="ListParagraph"/>
        <w:numPr>
          <w:ilvl w:val="0"/>
          <w:numId w:val="1"/>
        </w:numPr>
        <w:spacing w:line="240" w:lineRule="auto"/>
      </w:pPr>
      <w:r>
        <w:t>Request to Buildings for parking permit.</w:t>
      </w:r>
    </w:p>
    <w:p w14:paraId="7A2C1D30" w14:textId="77777777" w:rsidR="003118F7" w:rsidRDefault="003118F7" w:rsidP="00CC3F49">
      <w:pPr>
        <w:pStyle w:val="ListParagraph"/>
        <w:numPr>
          <w:ilvl w:val="0"/>
          <w:numId w:val="1"/>
        </w:numPr>
        <w:spacing w:line="240" w:lineRule="auto"/>
      </w:pPr>
      <w:r>
        <w:t>Brief tour of the building.</w:t>
      </w:r>
    </w:p>
    <w:p w14:paraId="4B8B499C" w14:textId="77777777" w:rsidR="003118F7" w:rsidRDefault="003118F7" w:rsidP="00CC3F49">
      <w:pPr>
        <w:pStyle w:val="ListParagraph"/>
        <w:numPr>
          <w:ilvl w:val="0"/>
          <w:numId w:val="1"/>
        </w:numPr>
        <w:spacing w:line="240" w:lineRule="auto"/>
      </w:pPr>
      <w:r>
        <w:t>Overview of the key business processes and associated operational procedures.</w:t>
      </w:r>
    </w:p>
    <w:p w14:paraId="0B50DE3E" w14:textId="77777777" w:rsidR="003118F7" w:rsidRDefault="003118F7" w:rsidP="00CC3F49">
      <w:pPr>
        <w:pStyle w:val="ListParagraph"/>
        <w:numPr>
          <w:ilvl w:val="0"/>
          <w:numId w:val="1"/>
        </w:numPr>
        <w:spacing w:line="240" w:lineRule="auto"/>
      </w:pPr>
      <w:r>
        <w:t>Overview of the quality management system.</w:t>
      </w:r>
    </w:p>
    <w:p w14:paraId="019DD0C1" w14:textId="77777777" w:rsidR="003118F7" w:rsidRDefault="003118F7" w:rsidP="00CC3F49">
      <w:pPr>
        <w:pStyle w:val="ListParagraph"/>
        <w:numPr>
          <w:ilvl w:val="0"/>
          <w:numId w:val="1"/>
        </w:numPr>
        <w:spacing w:line="240" w:lineRule="auto"/>
      </w:pPr>
      <w:r>
        <w:t>Overview of SharePoint site.</w:t>
      </w:r>
    </w:p>
    <w:p w14:paraId="1548B6F4" w14:textId="1F3D59ED" w:rsidR="003118F7" w:rsidRDefault="003118F7" w:rsidP="00CC3F49">
      <w:pPr>
        <w:pStyle w:val="ListParagraph"/>
        <w:numPr>
          <w:ilvl w:val="0"/>
          <w:numId w:val="1"/>
        </w:numPr>
        <w:spacing w:line="240" w:lineRule="auto"/>
      </w:pPr>
      <w:r>
        <w:t>HR induction programme</w:t>
      </w:r>
      <w:r w:rsidR="006D2D9D">
        <w:t xml:space="preserve"> for staff new to UL</w:t>
      </w:r>
      <w:r w:rsidR="000E0189">
        <w:t>.</w:t>
      </w:r>
    </w:p>
    <w:p w14:paraId="3E0899EA" w14:textId="77777777" w:rsidR="003118F7" w:rsidRDefault="003118F7" w:rsidP="00CC3F49">
      <w:pPr>
        <w:pStyle w:val="ListParagraph"/>
        <w:numPr>
          <w:ilvl w:val="0"/>
          <w:numId w:val="1"/>
        </w:numPr>
        <w:spacing w:line="240" w:lineRule="auto"/>
      </w:pPr>
      <w:r>
        <w:t>Overview of Core Portal and Agresso.</w:t>
      </w:r>
    </w:p>
    <w:p w14:paraId="4C5A9618" w14:textId="77777777" w:rsidR="003118F7" w:rsidRDefault="003118F7" w:rsidP="00CC3F49">
      <w:pPr>
        <w:pStyle w:val="ListParagraph"/>
        <w:numPr>
          <w:ilvl w:val="0"/>
          <w:numId w:val="1"/>
        </w:numPr>
        <w:spacing w:line="240" w:lineRule="auto"/>
      </w:pPr>
      <w:r>
        <w:t>Overview of other software as applicable to the role</w:t>
      </w:r>
    </w:p>
    <w:p w14:paraId="5A39BBE3" w14:textId="77777777" w:rsidR="008B4945" w:rsidRDefault="008B4945" w:rsidP="00CC3F49">
      <w:pPr>
        <w:spacing w:line="240" w:lineRule="auto"/>
      </w:pPr>
    </w:p>
    <w:p w14:paraId="423B613C" w14:textId="77777777" w:rsidR="003118F7" w:rsidRPr="001B3723" w:rsidRDefault="003118F7" w:rsidP="00CC3F49">
      <w:pPr>
        <w:spacing w:line="240" w:lineRule="auto"/>
        <w:rPr>
          <w:b/>
          <w:bCs/>
        </w:rPr>
      </w:pPr>
      <w:r>
        <w:rPr>
          <w:b/>
          <w:bCs/>
        </w:rPr>
        <w:t>HR Mandatory Training</w:t>
      </w:r>
    </w:p>
    <w:p w14:paraId="38C55DF9" w14:textId="3C7B4997" w:rsidR="003118F7" w:rsidRDefault="003118F7" w:rsidP="00CC3F49">
      <w:pPr>
        <w:spacing w:line="240" w:lineRule="auto"/>
      </w:pPr>
      <w:r>
        <w:t xml:space="preserve">As part of the HR Probationary Process, all staff are required to undertake mandatory training during the first six months of employment. The “HR First Six Months Checklist” which is available on the </w:t>
      </w:r>
      <w:hyperlink r:id="rId11" w:history="1">
        <w:r w:rsidRPr="00F976D1">
          <w:rPr>
            <w:rStyle w:val="Hyperlink"/>
          </w:rPr>
          <w:t>HR website</w:t>
        </w:r>
      </w:hyperlink>
      <w:r>
        <w:t xml:space="preserve">, outlines the policies and procedures that need to be read and identifies mandatory training for different categories of staff. These include </w:t>
      </w:r>
      <w:r>
        <w:lastRenderedPageBreak/>
        <w:t xml:space="preserve">GDPR (ALL), IT Security (ALL), Dignity &amp; Respect (ALL), Research Ethics (if </w:t>
      </w:r>
      <w:r w:rsidR="000E0189">
        <w:t>a</w:t>
      </w:r>
      <w:r>
        <w:t xml:space="preserve">pplicable), Interviewer Skills (if </w:t>
      </w:r>
      <w:r w:rsidR="000E0189">
        <w:t>a</w:t>
      </w:r>
      <w:r>
        <w:t xml:space="preserve">pplicable), Chairing Interview Boards Training (if </w:t>
      </w:r>
      <w:r w:rsidR="000E0189">
        <w:t>a</w:t>
      </w:r>
      <w:r>
        <w:t>pplicable). It is the responsibility of each employee to complete this form, which is signed by their line manager, and returned to the HR Compensation and Benefits unit (</w:t>
      </w:r>
      <w:hyperlink r:id="rId12" w:history="1">
        <w:r w:rsidRPr="00323E5E">
          <w:rPr>
            <w:rStyle w:val="Hyperlink"/>
          </w:rPr>
          <w:t>compandbens@ul.ie</w:t>
        </w:r>
      </w:hyperlink>
      <w:r>
        <w:t xml:space="preserve">). </w:t>
      </w:r>
    </w:p>
    <w:p w14:paraId="58B8D70B" w14:textId="0D9BBE51" w:rsidR="003118F7" w:rsidRDefault="003118F7" w:rsidP="00CC3F49">
      <w:pPr>
        <w:spacing w:line="240" w:lineRule="auto"/>
      </w:pPr>
      <w:r>
        <w:t xml:space="preserve">For existing employees, confirmation of attendance at all mandatory training </w:t>
      </w:r>
      <w:r w:rsidR="000E0189">
        <w:t>is</w:t>
      </w:r>
      <w:r>
        <w:t xml:space="preserve"> recorded as part of the Performance and Development Review System (PDRS) process.</w:t>
      </w:r>
    </w:p>
    <w:p w14:paraId="6B8C99C3" w14:textId="4EBCB9ED" w:rsidR="003118F7" w:rsidRDefault="7ADDAD70" w:rsidP="00CC3F49">
      <w:pPr>
        <w:spacing w:line="240" w:lineRule="auto"/>
      </w:pPr>
      <w:r>
        <w:t xml:space="preserve">On commencement of employment, a ‘Staff Training Record’ is compiled for each new member of staff. Any training undertaken in conjunction with HR is automatically recorded on the staff training record on CORE </w:t>
      </w:r>
      <w:r w:rsidR="000E0189">
        <w:t>P</w:t>
      </w:r>
      <w:r>
        <w:t xml:space="preserve">ortal. </w:t>
      </w:r>
    </w:p>
    <w:p w14:paraId="292D5A89" w14:textId="69132406" w:rsidR="272D425D" w:rsidRDefault="272D425D" w:rsidP="00CC3F49">
      <w:pPr>
        <w:spacing w:line="240" w:lineRule="auto"/>
      </w:pPr>
    </w:p>
    <w:p w14:paraId="7EFB7A81" w14:textId="24A87EDE" w:rsidR="003118F7" w:rsidRPr="000E0189" w:rsidRDefault="003118F7" w:rsidP="00CC3F49">
      <w:pPr>
        <w:pStyle w:val="Heading2"/>
        <w:spacing w:before="0" w:after="120" w:line="240" w:lineRule="auto"/>
        <w:rPr>
          <w:rFonts w:asciiTheme="minorHAnsi" w:hAnsiTheme="minorHAnsi" w:cstheme="minorHAnsi"/>
          <w:b/>
          <w:bCs/>
          <w:color w:val="005335"/>
          <w:sz w:val="24"/>
          <w:szCs w:val="24"/>
        </w:rPr>
      </w:pPr>
      <w:r w:rsidRPr="000E0189">
        <w:rPr>
          <w:rFonts w:asciiTheme="minorHAnsi" w:hAnsiTheme="minorHAnsi" w:cstheme="minorHAnsi"/>
          <w:b/>
          <w:bCs/>
          <w:color w:val="005335"/>
          <w:sz w:val="24"/>
          <w:szCs w:val="24"/>
        </w:rPr>
        <w:t xml:space="preserve">Planning </w:t>
      </w:r>
      <w:r w:rsidR="000E0189">
        <w:rPr>
          <w:rFonts w:asciiTheme="minorHAnsi" w:hAnsiTheme="minorHAnsi" w:cstheme="minorHAnsi"/>
          <w:b/>
          <w:bCs/>
          <w:color w:val="005335"/>
          <w:sz w:val="24"/>
          <w:szCs w:val="24"/>
        </w:rPr>
        <w:t>t</w:t>
      </w:r>
      <w:r w:rsidRPr="000E0189">
        <w:rPr>
          <w:rFonts w:asciiTheme="minorHAnsi" w:hAnsiTheme="minorHAnsi" w:cstheme="minorHAnsi"/>
          <w:b/>
          <w:bCs/>
          <w:color w:val="005335"/>
          <w:sz w:val="24"/>
          <w:szCs w:val="24"/>
        </w:rPr>
        <w:t>raining / PDRS</w:t>
      </w:r>
    </w:p>
    <w:p w14:paraId="695585B0" w14:textId="58A14014" w:rsidR="003118F7" w:rsidRDefault="003118F7" w:rsidP="00CC3F49">
      <w:pPr>
        <w:spacing w:line="240" w:lineRule="auto"/>
      </w:pPr>
      <w:r>
        <w:t xml:space="preserve">The Student Affairs division adheres to the Performance and Development Review System (PDRS), details of which are available on the </w:t>
      </w:r>
      <w:hyperlink r:id="rId13" w:anchor="p">
        <w:r w:rsidRPr="7D932545">
          <w:rPr>
            <w:rStyle w:val="Hyperlink"/>
          </w:rPr>
          <w:t>HR website</w:t>
        </w:r>
      </w:hyperlink>
      <w:r>
        <w:t xml:space="preserve">. The PDRS is a process defined by HR, which stipulates that the </w:t>
      </w:r>
      <w:r w:rsidR="2C582E1E">
        <w:t>line m</w:t>
      </w:r>
      <w:r>
        <w:t>anager must meet with each staff member, on an annual basis, with a view to improving performance and enhancing professional / career development. Any identified training is included in the PDRS record. Formal training requests are copied to the Learning and Development Manager, HR. Once training has been undertaken, a record of the training is entered into the Staff Training Record. A review of all formal training undertaken is conducted as part of the annual PDRS review.</w:t>
      </w:r>
    </w:p>
    <w:p w14:paraId="12921731" w14:textId="766864DA" w:rsidR="003118F7" w:rsidRDefault="003118F7" w:rsidP="00CC3F49">
      <w:pPr>
        <w:spacing w:line="240" w:lineRule="auto"/>
      </w:pPr>
      <w:r>
        <w:t xml:space="preserve">Training and development opportunities may be identified outside of the formal PDRS process as needs or opportunities arise. </w:t>
      </w:r>
    </w:p>
    <w:p w14:paraId="7965BA58" w14:textId="26290F50" w:rsidR="003118F7" w:rsidRDefault="7ADDAD70" w:rsidP="00CC3F49">
      <w:pPr>
        <w:spacing w:line="240" w:lineRule="auto"/>
      </w:pPr>
      <w:r>
        <w:t>Training records are held</w:t>
      </w:r>
      <w:r w:rsidR="029C0DD0">
        <w:t xml:space="preserve"> and</w:t>
      </w:r>
      <w:r>
        <w:t xml:space="preserve"> </w:t>
      </w:r>
      <w:r w:rsidR="67621C00">
        <w:t xml:space="preserve">maintained </w:t>
      </w:r>
      <w:r w:rsidR="000E0189">
        <w:t xml:space="preserve">by </w:t>
      </w:r>
      <w:r w:rsidR="006E4AD0">
        <w:t>individual</w:t>
      </w:r>
      <w:r w:rsidR="6F6BD047">
        <w:t xml:space="preserve"> staff members an</w:t>
      </w:r>
      <w:r w:rsidR="28AEFDB5">
        <w:t>d t</w:t>
      </w:r>
      <w:r w:rsidR="6F6BD047">
        <w:t>heir line manager</w:t>
      </w:r>
      <w:r>
        <w:t>.</w:t>
      </w:r>
      <w:r w:rsidR="000E0189">
        <w:t xml:space="preserve"> </w:t>
      </w:r>
      <w:r w:rsidR="003118F7">
        <w:t xml:space="preserve">Evaluation of the usefulness of formal training is provided to </w:t>
      </w:r>
      <w:r w:rsidR="45CABA55">
        <w:t xml:space="preserve">line </w:t>
      </w:r>
      <w:r w:rsidR="003118F7">
        <w:t>manager after each session.</w:t>
      </w:r>
    </w:p>
    <w:p w14:paraId="3AA40B97" w14:textId="77777777" w:rsidR="003118F7" w:rsidRPr="008B7D15" w:rsidRDefault="003118F7" w:rsidP="00CC3F49">
      <w:pPr>
        <w:pStyle w:val="ListParagraph"/>
        <w:numPr>
          <w:ilvl w:val="0"/>
          <w:numId w:val="2"/>
        </w:numPr>
        <w:spacing w:line="240" w:lineRule="auto"/>
        <w:rPr>
          <w:color w:val="005335"/>
        </w:rPr>
      </w:pPr>
      <w:r>
        <w:t xml:space="preserve">A training record is initiated by the line manager for the new member of staff. </w:t>
      </w:r>
    </w:p>
    <w:p w14:paraId="687CA79E" w14:textId="77777777" w:rsidR="003118F7" w:rsidRPr="008B7D15" w:rsidRDefault="003118F7" w:rsidP="00CC3F49">
      <w:pPr>
        <w:pStyle w:val="ListParagraph"/>
        <w:numPr>
          <w:ilvl w:val="0"/>
          <w:numId w:val="2"/>
        </w:numPr>
        <w:spacing w:line="240" w:lineRule="auto"/>
        <w:rPr>
          <w:color w:val="005335"/>
        </w:rPr>
      </w:pPr>
      <w:r>
        <w:t xml:space="preserve">The line manager and employee discuss what initial on-the-job training and/or formal training is required by the new employee and identify when these can take place. </w:t>
      </w:r>
    </w:p>
    <w:p w14:paraId="670459A0" w14:textId="77777777" w:rsidR="003118F7" w:rsidRPr="008B7D15" w:rsidRDefault="003118F7" w:rsidP="00CC3F49">
      <w:pPr>
        <w:pStyle w:val="ListParagraph"/>
        <w:numPr>
          <w:ilvl w:val="0"/>
          <w:numId w:val="2"/>
        </w:numPr>
        <w:spacing w:line="240" w:lineRule="auto"/>
        <w:rPr>
          <w:color w:val="005335"/>
        </w:rPr>
      </w:pPr>
      <w:r>
        <w:t xml:space="preserve">Staff are encouraged to undertake courses outside of their day-to-day work where appropriate and within available resources. Networking and benchmarking activities are also encouraged as part of an individual’s training and are recorded on training records. </w:t>
      </w:r>
    </w:p>
    <w:p w14:paraId="6C89A0BD" w14:textId="3E83A414" w:rsidR="003118F7" w:rsidRPr="008B7D15" w:rsidRDefault="003118F7" w:rsidP="00CC3F49">
      <w:pPr>
        <w:pStyle w:val="ListParagraph"/>
        <w:numPr>
          <w:ilvl w:val="0"/>
          <w:numId w:val="2"/>
        </w:numPr>
        <w:spacing w:line="240" w:lineRule="auto"/>
        <w:rPr>
          <w:color w:val="005335"/>
        </w:rPr>
      </w:pPr>
      <w:r>
        <w:t xml:space="preserve">Any training which takes place is recorded on the individual’s training record and the staff member comments on the effectiveness of the training that was undertaken. Where certificates are received, these should be copied and attached to the record. </w:t>
      </w:r>
    </w:p>
    <w:p w14:paraId="2F40041D" w14:textId="390ADE19" w:rsidR="003118F7" w:rsidRPr="008B7D15" w:rsidRDefault="003118F7" w:rsidP="00CC3F49">
      <w:pPr>
        <w:pStyle w:val="ListParagraph"/>
        <w:numPr>
          <w:ilvl w:val="0"/>
          <w:numId w:val="2"/>
        </w:numPr>
        <w:spacing w:line="240" w:lineRule="auto"/>
        <w:rPr>
          <w:color w:val="005335"/>
        </w:rPr>
      </w:pPr>
      <w:r>
        <w:lastRenderedPageBreak/>
        <w:t xml:space="preserve">Any training undertaken in conjunction with HR is automatically recorded on the staff member’s training record on Core Portal. </w:t>
      </w:r>
    </w:p>
    <w:p w14:paraId="1971CFCA" w14:textId="103D360C" w:rsidR="003118F7" w:rsidRPr="008B7D15" w:rsidRDefault="003118F7" w:rsidP="00CC3F49">
      <w:pPr>
        <w:pStyle w:val="ListParagraph"/>
        <w:numPr>
          <w:ilvl w:val="0"/>
          <w:numId w:val="2"/>
        </w:numPr>
        <w:spacing w:line="240" w:lineRule="auto"/>
        <w:rPr>
          <w:color w:val="005335"/>
        </w:rPr>
      </w:pPr>
      <w:r>
        <w:t xml:space="preserve">Information on any training undertaken across the Division, and the effectiveness of this training, is discussed at the Quality Review meetings. </w:t>
      </w:r>
    </w:p>
    <w:p w14:paraId="101773B3" w14:textId="3884A912" w:rsidR="003118F7" w:rsidRPr="003118F7" w:rsidRDefault="003118F7" w:rsidP="00CC3F49">
      <w:pPr>
        <w:pStyle w:val="ListParagraph"/>
        <w:numPr>
          <w:ilvl w:val="0"/>
          <w:numId w:val="2"/>
        </w:numPr>
        <w:spacing w:line="240" w:lineRule="auto"/>
        <w:rPr>
          <w:color w:val="005335"/>
        </w:rPr>
      </w:pPr>
      <w:r>
        <w:t xml:space="preserve">Where specific training is required for health &amp; safety reasons the training record must list the details of such training. Further details on UL health and safety policies and training courses are available from the </w:t>
      </w:r>
      <w:hyperlink r:id="rId14">
        <w:r w:rsidRPr="7CDE5002">
          <w:rPr>
            <w:rStyle w:val="Hyperlink"/>
          </w:rPr>
          <w:t>Health and Safety website</w:t>
        </w:r>
      </w:hyperlink>
    </w:p>
    <w:p w14:paraId="4B94D5A5" w14:textId="77777777" w:rsidR="003118F7" w:rsidRDefault="003118F7" w:rsidP="00CC3F49">
      <w:pPr>
        <w:pStyle w:val="Heading1"/>
        <w:spacing w:before="0" w:after="120" w:line="240" w:lineRule="auto"/>
        <w:rPr>
          <w:color w:val="005335"/>
          <w:sz w:val="22"/>
          <w:szCs w:val="22"/>
        </w:rPr>
      </w:pPr>
    </w:p>
    <w:p w14:paraId="3C09E6A0" w14:textId="77777777" w:rsidR="003118F7" w:rsidRPr="000E0189" w:rsidRDefault="003118F7" w:rsidP="00CC3F49">
      <w:pPr>
        <w:pStyle w:val="Heading1"/>
        <w:spacing w:before="0" w:after="120" w:line="240" w:lineRule="auto"/>
        <w:rPr>
          <w:rFonts w:asciiTheme="minorHAnsi" w:hAnsiTheme="minorHAnsi" w:cstheme="minorHAnsi"/>
          <w:color w:val="005335"/>
          <w:sz w:val="24"/>
          <w:szCs w:val="24"/>
        </w:rPr>
      </w:pPr>
      <w:r w:rsidRPr="000E0189">
        <w:rPr>
          <w:rFonts w:asciiTheme="minorHAnsi" w:hAnsiTheme="minorHAnsi" w:cstheme="minorHAnsi"/>
          <w:color w:val="005335"/>
          <w:sz w:val="24"/>
          <w:szCs w:val="24"/>
        </w:rPr>
        <w:t>DOCUMENTATION</w:t>
      </w:r>
    </w:p>
    <w:bookmarkStart w:id="1" w:name="_Hlk117174422"/>
    <w:p w14:paraId="5471B4B8" w14:textId="6F7A22E5" w:rsidR="003118F7" w:rsidRDefault="006E4AD0" w:rsidP="00CC3F49">
      <w:pPr>
        <w:spacing w:line="240" w:lineRule="auto"/>
        <w:rPr>
          <w:i/>
          <w:iCs/>
        </w:rPr>
      </w:pPr>
      <w:r>
        <w:rPr>
          <w:i/>
          <w:iCs/>
        </w:rPr>
        <w:fldChar w:fldCharType="begin"/>
      </w:r>
      <w:r>
        <w:rPr>
          <w:i/>
          <w:iCs/>
        </w:rPr>
        <w:instrText xml:space="preserve"> HYPERLINK "https://www.ul.ie/hr/current-staff/hr-procedures-processes-forms-z" </w:instrText>
      </w:r>
      <w:r>
        <w:rPr>
          <w:i/>
          <w:iCs/>
        </w:rPr>
        <w:fldChar w:fldCharType="separate"/>
      </w:r>
      <w:r w:rsidRPr="006E4AD0">
        <w:rPr>
          <w:rStyle w:val="Hyperlink"/>
          <w:i/>
          <w:iCs/>
        </w:rPr>
        <w:t>HR Forms</w:t>
      </w:r>
      <w:r>
        <w:rPr>
          <w:i/>
          <w:iCs/>
        </w:rPr>
        <w:fldChar w:fldCharType="end"/>
      </w:r>
      <w:bookmarkEnd w:id="1"/>
    </w:p>
    <w:p w14:paraId="3656B9AB" w14:textId="77777777" w:rsidR="003118F7" w:rsidRDefault="003118F7" w:rsidP="00CC3F49">
      <w:pPr>
        <w:spacing w:line="240" w:lineRule="auto"/>
        <w:rPr>
          <w:color w:val="005335"/>
        </w:rPr>
      </w:pPr>
    </w:p>
    <w:p w14:paraId="1D0E107B" w14:textId="77777777" w:rsidR="003118F7" w:rsidRPr="000E0189" w:rsidRDefault="003118F7" w:rsidP="00CC3F49">
      <w:pPr>
        <w:spacing w:line="240" w:lineRule="auto"/>
        <w:rPr>
          <w:b/>
          <w:bCs/>
          <w:color w:val="005335"/>
          <w:sz w:val="24"/>
          <w:szCs w:val="24"/>
        </w:rPr>
      </w:pPr>
      <w:r w:rsidRPr="000E0189">
        <w:rPr>
          <w:b/>
          <w:bCs/>
          <w:color w:val="005335"/>
          <w:sz w:val="24"/>
          <w:szCs w:val="24"/>
        </w:rPr>
        <w:t>RECORDS</w:t>
      </w:r>
    </w:p>
    <w:p w14:paraId="672E6290" w14:textId="05E4825C" w:rsidR="003118F7" w:rsidRDefault="003118F7" w:rsidP="00CC3F49">
      <w:pPr>
        <w:spacing w:line="240" w:lineRule="auto"/>
      </w:pPr>
      <w:r>
        <w:t xml:space="preserve">Individual training needs for a particular year are recorded on individual staff PDRS form, in consultation with the </w:t>
      </w:r>
      <w:r w:rsidR="064C6E97">
        <w:t xml:space="preserve">line </w:t>
      </w:r>
      <w:r>
        <w:t xml:space="preserve">manager. The </w:t>
      </w:r>
      <w:r w:rsidR="03E17CE0">
        <w:t xml:space="preserve">line </w:t>
      </w:r>
      <w:r>
        <w:t>manager is responsible for retaining the completed PDRS forms for each member of staff. Each individual keeps a copy of their own form. The HR Division keeps a central record of all training completed by staff members on courses organised by HR (</w:t>
      </w:r>
      <w:r w:rsidR="77BBDC7A">
        <w:t xml:space="preserve">recorded on </w:t>
      </w:r>
      <w:r>
        <w:t xml:space="preserve">CORE Portal). Staff members also keep a ‘Staff Training Record’ in which all formal and informal training is recorded. Any personal data that is used as part of this process is processed in accordance with the General Data Protection Regulation (GDPR) / Data Protection Acts 1988-2018, the </w:t>
      </w:r>
      <w:hyperlink r:id="rId15">
        <w:r w:rsidRPr="7D932545">
          <w:rPr>
            <w:rStyle w:val="Hyperlink"/>
          </w:rPr>
          <w:t>University of Limerick Data Protection Policy</w:t>
        </w:r>
      </w:hyperlink>
      <w:r>
        <w:t>.</w:t>
      </w:r>
    </w:p>
    <w:p w14:paraId="049F31CB" w14:textId="77777777" w:rsidR="003118F7" w:rsidRDefault="003118F7" w:rsidP="00CC3F49">
      <w:pPr>
        <w:spacing w:line="240" w:lineRule="auto"/>
      </w:pPr>
    </w:p>
    <w:p w14:paraId="4D164647" w14:textId="77777777" w:rsidR="000E0189" w:rsidRDefault="000E0189" w:rsidP="00CC3F49">
      <w:pPr>
        <w:spacing w:line="240" w:lineRule="auto"/>
      </w:pPr>
    </w:p>
    <w:p w14:paraId="28DFC47E" w14:textId="77777777" w:rsidR="003118F7" w:rsidRPr="000E0189" w:rsidRDefault="003118F7" w:rsidP="00CC3F49">
      <w:pPr>
        <w:pStyle w:val="Heading1"/>
        <w:spacing w:before="0" w:after="120" w:line="240" w:lineRule="auto"/>
        <w:rPr>
          <w:rFonts w:asciiTheme="minorHAnsi" w:hAnsiTheme="minorHAnsi" w:cstheme="minorHAnsi"/>
          <w:color w:val="005335"/>
          <w:sz w:val="24"/>
          <w:szCs w:val="24"/>
        </w:rPr>
      </w:pPr>
      <w:r w:rsidRPr="000E0189">
        <w:rPr>
          <w:rFonts w:asciiTheme="minorHAnsi" w:hAnsiTheme="minorHAnsi" w:cstheme="minorHAnsi"/>
          <w:color w:val="005335"/>
          <w:sz w:val="24"/>
          <w:szCs w:val="24"/>
        </w:rPr>
        <w:t>PROCESS VERIFICATION</w:t>
      </w:r>
    </w:p>
    <w:p w14:paraId="5CF6BBE5" w14:textId="1A7DFBC8" w:rsidR="003118F7" w:rsidRDefault="003118F7" w:rsidP="00CC3F49">
      <w:pPr>
        <w:spacing w:line="240" w:lineRule="auto"/>
      </w:pPr>
      <w:r>
        <w:t xml:space="preserve">Evaluation of </w:t>
      </w:r>
      <w:r w:rsidR="000E0189">
        <w:t>the</w:t>
      </w:r>
      <w:r>
        <w:t xml:space="preserve"> effectiveness </w:t>
      </w:r>
      <w:r w:rsidR="000E0189">
        <w:t xml:space="preserve">of this process </w:t>
      </w:r>
      <w:r>
        <w:t xml:space="preserve">is carried out using Internal/QMS audits. </w:t>
      </w:r>
    </w:p>
    <w:p w14:paraId="62486C05" w14:textId="77777777" w:rsidR="003118F7" w:rsidRPr="000E0189" w:rsidRDefault="003118F7" w:rsidP="00CC3F49">
      <w:pPr>
        <w:spacing w:line="240" w:lineRule="auto"/>
        <w:rPr>
          <w:rFonts w:cstheme="minorHAnsi"/>
          <w:sz w:val="24"/>
          <w:szCs w:val="24"/>
        </w:rPr>
      </w:pPr>
    </w:p>
    <w:p w14:paraId="3FC4C057" w14:textId="77777777" w:rsidR="003118F7" w:rsidRPr="000E0189" w:rsidRDefault="003118F7" w:rsidP="00CC3F49">
      <w:pPr>
        <w:pStyle w:val="Heading1"/>
        <w:spacing w:before="0" w:after="120" w:line="240" w:lineRule="auto"/>
        <w:rPr>
          <w:rFonts w:asciiTheme="minorHAnsi" w:hAnsiTheme="minorHAnsi" w:cstheme="minorHAnsi"/>
          <w:color w:val="005335"/>
          <w:sz w:val="24"/>
          <w:szCs w:val="24"/>
        </w:rPr>
      </w:pPr>
      <w:r w:rsidRPr="000E0189">
        <w:rPr>
          <w:rFonts w:asciiTheme="minorHAnsi" w:hAnsiTheme="minorHAnsi" w:cstheme="minorHAnsi"/>
          <w:color w:val="005335"/>
          <w:sz w:val="24"/>
          <w:szCs w:val="24"/>
        </w:rPr>
        <w:t>REVISION HISTORY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1134"/>
        <w:gridCol w:w="1701"/>
        <w:gridCol w:w="3119"/>
        <w:gridCol w:w="1984"/>
      </w:tblGrid>
      <w:tr w:rsidR="003118F7" w:rsidRPr="00141577" w14:paraId="5B1DED91" w14:textId="77777777" w:rsidTr="008B7D15">
        <w:tc>
          <w:tcPr>
            <w:tcW w:w="1242" w:type="dxa"/>
          </w:tcPr>
          <w:p w14:paraId="06BCF91E" w14:textId="77777777" w:rsidR="003118F7" w:rsidRPr="00141577" w:rsidRDefault="003118F7" w:rsidP="00CC3F49">
            <w:pPr>
              <w:spacing w:line="240" w:lineRule="auto"/>
              <w:jc w:val="center"/>
              <w:rPr>
                <w:rFonts w:ascii="Calibri" w:hAnsi="Calibri"/>
                <w:b/>
                <w:bCs/>
                <w:sz w:val="18"/>
                <w:szCs w:val="18"/>
              </w:rPr>
            </w:pPr>
            <w:r w:rsidRPr="00141577">
              <w:rPr>
                <w:rFonts w:ascii="Calibri" w:hAnsi="Calibri"/>
                <w:b/>
                <w:bCs/>
                <w:sz w:val="18"/>
                <w:szCs w:val="18"/>
              </w:rPr>
              <w:t>Revision No.</w:t>
            </w:r>
          </w:p>
        </w:tc>
        <w:tc>
          <w:tcPr>
            <w:tcW w:w="1134" w:type="dxa"/>
          </w:tcPr>
          <w:p w14:paraId="2CBE40DE" w14:textId="77777777" w:rsidR="003118F7" w:rsidRPr="00141577" w:rsidRDefault="003118F7" w:rsidP="00CC3F49">
            <w:pPr>
              <w:spacing w:line="240" w:lineRule="auto"/>
              <w:jc w:val="center"/>
              <w:rPr>
                <w:rFonts w:ascii="Calibri" w:hAnsi="Calibri"/>
                <w:b/>
                <w:bCs/>
                <w:sz w:val="18"/>
                <w:szCs w:val="18"/>
              </w:rPr>
            </w:pPr>
            <w:r w:rsidRPr="00141577">
              <w:rPr>
                <w:rFonts w:ascii="Calibri" w:hAnsi="Calibri"/>
                <w:b/>
                <w:bCs/>
                <w:sz w:val="18"/>
                <w:szCs w:val="18"/>
              </w:rPr>
              <w:t xml:space="preserve">Date </w:t>
            </w:r>
          </w:p>
        </w:tc>
        <w:tc>
          <w:tcPr>
            <w:tcW w:w="1701" w:type="dxa"/>
          </w:tcPr>
          <w:p w14:paraId="19D35CC3" w14:textId="77777777" w:rsidR="003118F7" w:rsidRPr="00141577" w:rsidRDefault="003118F7" w:rsidP="00CC3F49">
            <w:pPr>
              <w:spacing w:line="240" w:lineRule="auto"/>
              <w:jc w:val="center"/>
              <w:rPr>
                <w:rFonts w:ascii="Calibri" w:hAnsi="Calibri"/>
                <w:b/>
                <w:bCs/>
                <w:sz w:val="18"/>
                <w:szCs w:val="18"/>
              </w:rPr>
            </w:pPr>
            <w:r w:rsidRPr="00141577">
              <w:rPr>
                <w:rFonts w:ascii="Calibri" w:hAnsi="Calibri"/>
                <w:b/>
                <w:bCs/>
                <w:sz w:val="18"/>
                <w:szCs w:val="18"/>
              </w:rPr>
              <w:t>Approved by:</w:t>
            </w:r>
          </w:p>
        </w:tc>
        <w:tc>
          <w:tcPr>
            <w:tcW w:w="3119" w:type="dxa"/>
          </w:tcPr>
          <w:p w14:paraId="57C37DA8" w14:textId="77777777" w:rsidR="003118F7" w:rsidRPr="00141577" w:rsidRDefault="003118F7" w:rsidP="00CC3F49">
            <w:pPr>
              <w:spacing w:line="240" w:lineRule="auto"/>
              <w:jc w:val="center"/>
              <w:rPr>
                <w:rFonts w:ascii="Calibri" w:hAnsi="Calibri"/>
                <w:b/>
                <w:bCs/>
                <w:sz w:val="18"/>
                <w:szCs w:val="18"/>
              </w:rPr>
            </w:pPr>
            <w:r w:rsidRPr="00141577">
              <w:rPr>
                <w:rFonts w:ascii="Calibri" w:hAnsi="Calibri"/>
                <w:b/>
                <w:bCs/>
                <w:sz w:val="18"/>
                <w:szCs w:val="18"/>
              </w:rPr>
              <w:t>Details of Change</w:t>
            </w:r>
          </w:p>
        </w:tc>
        <w:tc>
          <w:tcPr>
            <w:tcW w:w="1984" w:type="dxa"/>
          </w:tcPr>
          <w:p w14:paraId="73169C78" w14:textId="77777777" w:rsidR="003118F7" w:rsidRPr="00141577" w:rsidRDefault="003118F7" w:rsidP="00CC3F49">
            <w:pPr>
              <w:spacing w:line="240" w:lineRule="auto"/>
              <w:jc w:val="center"/>
              <w:rPr>
                <w:rFonts w:ascii="Calibri" w:hAnsi="Calibri"/>
                <w:b/>
                <w:bCs/>
                <w:sz w:val="18"/>
                <w:szCs w:val="18"/>
              </w:rPr>
            </w:pPr>
            <w:r>
              <w:rPr>
                <w:rFonts w:ascii="Calibri" w:hAnsi="Calibri"/>
                <w:b/>
                <w:bCs/>
                <w:sz w:val="18"/>
                <w:szCs w:val="18"/>
              </w:rPr>
              <w:t>Process Owner</w:t>
            </w:r>
          </w:p>
        </w:tc>
      </w:tr>
      <w:tr w:rsidR="003118F7" w:rsidRPr="00141577" w14:paraId="49AA5682" w14:textId="77777777" w:rsidTr="008B7D15">
        <w:tc>
          <w:tcPr>
            <w:tcW w:w="1242" w:type="dxa"/>
          </w:tcPr>
          <w:p w14:paraId="649841BE" w14:textId="77777777" w:rsidR="003118F7" w:rsidRPr="00141577" w:rsidRDefault="003118F7" w:rsidP="00CC3F49">
            <w:pPr>
              <w:spacing w:line="240" w:lineRule="auto"/>
              <w:jc w:val="center"/>
              <w:rPr>
                <w:rFonts w:ascii="Calibri" w:hAnsi="Calibri"/>
                <w:sz w:val="18"/>
                <w:szCs w:val="18"/>
              </w:rPr>
            </w:pPr>
            <w:r w:rsidRPr="00141577">
              <w:rPr>
                <w:rFonts w:ascii="Calibri" w:hAnsi="Calibri"/>
                <w:sz w:val="18"/>
                <w:szCs w:val="18"/>
              </w:rPr>
              <w:t>1</w:t>
            </w:r>
          </w:p>
        </w:tc>
        <w:tc>
          <w:tcPr>
            <w:tcW w:w="1134" w:type="dxa"/>
          </w:tcPr>
          <w:p w14:paraId="1D348064" w14:textId="77777777" w:rsidR="003118F7" w:rsidRPr="00141577" w:rsidRDefault="0090609A" w:rsidP="00CC3F49">
            <w:pPr>
              <w:spacing w:line="240" w:lineRule="auto"/>
              <w:jc w:val="center"/>
              <w:rPr>
                <w:rFonts w:ascii="Calibri" w:hAnsi="Calibri"/>
                <w:sz w:val="18"/>
                <w:szCs w:val="18"/>
              </w:rPr>
            </w:pPr>
            <w:r>
              <w:rPr>
                <w:rFonts w:ascii="Calibri" w:hAnsi="Calibri"/>
                <w:sz w:val="18"/>
                <w:szCs w:val="18"/>
              </w:rPr>
              <w:t>Sept ‘19</w:t>
            </w:r>
          </w:p>
        </w:tc>
        <w:tc>
          <w:tcPr>
            <w:tcW w:w="1701" w:type="dxa"/>
          </w:tcPr>
          <w:p w14:paraId="1299C43A" w14:textId="77777777" w:rsidR="003118F7" w:rsidRPr="00141577" w:rsidRDefault="003118F7" w:rsidP="00CC3F49">
            <w:pPr>
              <w:spacing w:line="240" w:lineRule="auto"/>
              <w:jc w:val="center"/>
              <w:rPr>
                <w:rFonts w:ascii="Calibri" w:hAnsi="Calibri"/>
                <w:sz w:val="18"/>
                <w:szCs w:val="18"/>
              </w:rPr>
            </w:pPr>
          </w:p>
        </w:tc>
        <w:tc>
          <w:tcPr>
            <w:tcW w:w="3119" w:type="dxa"/>
          </w:tcPr>
          <w:p w14:paraId="145AA3ED" w14:textId="77777777" w:rsidR="003118F7" w:rsidRPr="00141577" w:rsidRDefault="003118F7" w:rsidP="00CC3F49">
            <w:pPr>
              <w:spacing w:line="240" w:lineRule="auto"/>
              <w:jc w:val="both"/>
              <w:rPr>
                <w:rFonts w:ascii="Calibri" w:hAnsi="Calibri"/>
                <w:sz w:val="18"/>
                <w:szCs w:val="18"/>
              </w:rPr>
            </w:pPr>
            <w:r w:rsidRPr="00141577">
              <w:rPr>
                <w:rFonts w:ascii="Calibri" w:hAnsi="Calibri"/>
                <w:sz w:val="18"/>
                <w:szCs w:val="18"/>
              </w:rPr>
              <w:t>Initial Release</w:t>
            </w:r>
          </w:p>
        </w:tc>
        <w:tc>
          <w:tcPr>
            <w:tcW w:w="1984" w:type="dxa"/>
          </w:tcPr>
          <w:p w14:paraId="4DDBEF00" w14:textId="77777777" w:rsidR="003118F7" w:rsidRPr="00141577" w:rsidRDefault="003118F7" w:rsidP="00CC3F49">
            <w:pPr>
              <w:spacing w:line="240" w:lineRule="auto"/>
              <w:jc w:val="both"/>
              <w:rPr>
                <w:rFonts w:ascii="Calibri" w:hAnsi="Calibri"/>
                <w:sz w:val="18"/>
                <w:szCs w:val="18"/>
              </w:rPr>
            </w:pPr>
          </w:p>
        </w:tc>
      </w:tr>
      <w:tr w:rsidR="0090609A" w:rsidRPr="00141577" w14:paraId="6314348C" w14:textId="77777777" w:rsidTr="008B7D15">
        <w:tc>
          <w:tcPr>
            <w:tcW w:w="1242" w:type="dxa"/>
          </w:tcPr>
          <w:p w14:paraId="18F999B5" w14:textId="77777777" w:rsidR="0090609A" w:rsidRPr="00141577" w:rsidRDefault="0090609A" w:rsidP="00CC3F49">
            <w:pPr>
              <w:spacing w:line="240" w:lineRule="auto"/>
              <w:jc w:val="center"/>
              <w:rPr>
                <w:rFonts w:ascii="Calibri" w:hAnsi="Calibri"/>
                <w:sz w:val="18"/>
                <w:szCs w:val="18"/>
              </w:rPr>
            </w:pPr>
            <w:r>
              <w:rPr>
                <w:rFonts w:ascii="Calibri" w:hAnsi="Calibri"/>
                <w:sz w:val="18"/>
                <w:szCs w:val="18"/>
              </w:rPr>
              <w:t>2</w:t>
            </w:r>
          </w:p>
        </w:tc>
        <w:tc>
          <w:tcPr>
            <w:tcW w:w="1134" w:type="dxa"/>
          </w:tcPr>
          <w:p w14:paraId="4BFC62D4" w14:textId="77777777" w:rsidR="0090609A" w:rsidRDefault="0090609A" w:rsidP="00CC3F49">
            <w:pPr>
              <w:spacing w:line="240" w:lineRule="auto"/>
              <w:jc w:val="center"/>
              <w:rPr>
                <w:rFonts w:ascii="Calibri" w:hAnsi="Calibri"/>
                <w:sz w:val="18"/>
                <w:szCs w:val="18"/>
              </w:rPr>
            </w:pPr>
            <w:r>
              <w:rPr>
                <w:rFonts w:ascii="Calibri" w:hAnsi="Calibri"/>
                <w:sz w:val="18"/>
                <w:szCs w:val="18"/>
              </w:rPr>
              <w:t>Jan 14</w:t>
            </w:r>
          </w:p>
        </w:tc>
        <w:tc>
          <w:tcPr>
            <w:tcW w:w="1701" w:type="dxa"/>
          </w:tcPr>
          <w:p w14:paraId="795B57B5" w14:textId="77777777" w:rsidR="0090609A" w:rsidRPr="00141577" w:rsidRDefault="0090609A" w:rsidP="00CC3F49">
            <w:pPr>
              <w:spacing w:line="240" w:lineRule="auto"/>
              <w:jc w:val="center"/>
              <w:rPr>
                <w:rFonts w:ascii="Calibri" w:hAnsi="Calibri"/>
                <w:sz w:val="18"/>
                <w:szCs w:val="18"/>
              </w:rPr>
            </w:pPr>
            <w:r>
              <w:rPr>
                <w:rFonts w:ascii="Calibri" w:hAnsi="Calibri"/>
                <w:sz w:val="18"/>
                <w:szCs w:val="18"/>
              </w:rPr>
              <w:t>Quality Team</w:t>
            </w:r>
          </w:p>
        </w:tc>
        <w:tc>
          <w:tcPr>
            <w:tcW w:w="3119" w:type="dxa"/>
          </w:tcPr>
          <w:p w14:paraId="64D61FF8" w14:textId="77777777" w:rsidR="0090609A" w:rsidRPr="00141577" w:rsidRDefault="0090609A" w:rsidP="00CC3F49">
            <w:pPr>
              <w:spacing w:line="240" w:lineRule="auto"/>
              <w:jc w:val="both"/>
              <w:rPr>
                <w:rFonts w:ascii="Calibri" w:hAnsi="Calibri"/>
                <w:sz w:val="18"/>
                <w:szCs w:val="18"/>
              </w:rPr>
            </w:pPr>
            <w:r>
              <w:rPr>
                <w:rFonts w:ascii="Calibri" w:hAnsi="Calibri"/>
                <w:sz w:val="18"/>
                <w:szCs w:val="18"/>
              </w:rPr>
              <w:t>Inclusion of evaluation of effectiveness of training at Quarterly Quality Review meeting</w:t>
            </w:r>
          </w:p>
        </w:tc>
        <w:tc>
          <w:tcPr>
            <w:tcW w:w="1984" w:type="dxa"/>
          </w:tcPr>
          <w:p w14:paraId="204284FF" w14:textId="77777777" w:rsidR="0090609A" w:rsidRPr="00141577" w:rsidRDefault="0090609A" w:rsidP="00CC3F49">
            <w:pPr>
              <w:spacing w:line="240" w:lineRule="auto"/>
              <w:jc w:val="both"/>
              <w:rPr>
                <w:rFonts w:ascii="Calibri" w:hAnsi="Calibri"/>
                <w:sz w:val="18"/>
                <w:szCs w:val="18"/>
              </w:rPr>
            </w:pPr>
            <w:r>
              <w:rPr>
                <w:rFonts w:ascii="Calibri" w:hAnsi="Calibri"/>
                <w:sz w:val="18"/>
                <w:szCs w:val="18"/>
              </w:rPr>
              <w:t>Quality Team</w:t>
            </w:r>
          </w:p>
        </w:tc>
      </w:tr>
      <w:tr w:rsidR="0090609A" w:rsidRPr="00141577" w14:paraId="00C0B969" w14:textId="77777777" w:rsidTr="008B7D15">
        <w:tc>
          <w:tcPr>
            <w:tcW w:w="1242" w:type="dxa"/>
          </w:tcPr>
          <w:p w14:paraId="5FCD5EC4" w14:textId="77777777" w:rsidR="0090609A" w:rsidRPr="00141577" w:rsidRDefault="0090609A" w:rsidP="00CC3F49">
            <w:pPr>
              <w:spacing w:line="240" w:lineRule="auto"/>
              <w:jc w:val="center"/>
              <w:rPr>
                <w:rFonts w:ascii="Calibri" w:hAnsi="Calibri"/>
                <w:sz w:val="18"/>
                <w:szCs w:val="18"/>
              </w:rPr>
            </w:pPr>
            <w:r>
              <w:rPr>
                <w:rFonts w:ascii="Calibri" w:hAnsi="Calibri"/>
                <w:sz w:val="18"/>
                <w:szCs w:val="18"/>
              </w:rPr>
              <w:t>3</w:t>
            </w:r>
          </w:p>
        </w:tc>
        <w:tc>
          <w:tcPr>
            <w:tcW w:w="1134" w:type="dxa"/>
          </w:tcPr>
          <w:p w14:paraId="4DCD8E7C" w14:textId="77777777" w:rsidR="0090609A" w:rsidRDefault="0090609A" w:rsidP="00CC3F49">
            <w:pPr>
              <w:spacing w:line="240" w:lineRule="auto"/>
              <w:jc w:val="center"/>
              <w:rPr>
                <w:rFonts w:ascii="Calibri" w:hAnsi="Calibri"/>
                <w:sz w:val="18"/>
                <w:szCs w:val="18"/>
              </w:rPr>
            </w:pPr>
            <w:r>
              <w:rPr>
                <w:rFonts w:ascii="Calibri" w:hAnsi="Calibri"/>
                <w:sz w:val="18"/>
                <w:szCs w:val="18"/>
              </w:rPr>
              <w:t>Oct 17</w:t>
            </w:r>
          </w:p>
        </w:tc>
        <w:tc>
          <w:tcPr>
            <w:tcW w:w="1701" w:type="dxa"/>
          </w:tcPr>
          <w:p w14:paraId="30EBAC37" w14:textId="77777777" w:rsidR="0090609A" w:rsidRPr="00141577" w:rsidRDefault="0090609A" w:rsidP="00CC3F49">
            <w:pPr>
              <w:spacing w:line="240" w:lineRule="auto"/>
              <w:jc w:val="center"/>
              <w:rPr>
                <w:rFonts w:ascii="Calibri" w:hAnsi="Calibri"/>
                <w:sz w:val="18"/>
                <w:szCs w:val="18"/>
              </w:rPr>
            </w:pPr>
            <w:r>
              <w:rPr>
                <w:rFonts w:ascii="Calibri" w:hAnsi="Calibri"/>
                <w:sz w:val="18"/>
                <w:szCs w:val="18"/>
              </w:rPr>
              <w:t>Quality Team Meeting 1/11/17</w:t>
            </w:r>
          </w:p>
        </w:tc>
        <w:tc>
          <w:tcPr>
            <w:tcW w:w="3119" w:type="dxa"/>
          </w:tcPr>
          <w:p w14:paraId="357B64F6" w14:textId="77777777" w:rsidR="0090609A" w:rsidRPr="00141577" w:rsidRDefault="0090609A" w:rsidP="00CC3F49">
            <w:pPr>
              <w:spacing w:line="240" w:lineRule="auto"/>
              <w:jc w:val="both"/>
              <w:rPr>
                <w:rFonts w:ascii="Calibri" w:hAnsi="Calibri"/>
                <w:sz w:val="18"/>
                <w:szCs w:val="18"/>
              </w:rPr>
            </w:pPr>
            <w:r>
              <w:rPr>
                <w:rFonts w:ascii="Calibri" w:hAnsi="Calibri"/>
                <w:sz w:val="18"/>
                <w:szCs w:val="18"/>
              </w:rPr>
              <w:t>Reformatting of process for simplification; inclusion of benchmarking and networking as recognised training activity; link to Training Record on Sharepoint</w:t>
            </w:r>
          </w:p>
        </w:tc>
        <w:tc>
          <w:tcPr>
            <w:tcW w:w="1984" w:type="dxa"/>
          </w:tcPr>
          <w:p w14:paraId="3461D779" w14:textId="64096BA8" w:rsidR="0090609A" w:rsidRPr="00141577" w:rsidRDefault="006E4AD0" w:rsidP="00CC3F49">
            <w:pPr>
              <w:spacing w:line="240" w:lineRule="auto"/>
              <w:jc w:val="both"/>
              <w:rPr>
                <w:rFonts w:ascii="Calibri" w:hAnsi="Calibri"/>
                <w:sz w:val="18"/>
                <w:szCs w:val="18"/>
              </w:rPr>
            </w:pPr>
            <w:r>
              <w:rPr>
                <w:rFonts w:ascii="Calibri" w:hAnsi="Calibri"/>
                <w:sz w:val="18"/>
                <w:szCs w:val="18"/>
              </w:rPr>
              <w:t>Quality Team</w:t>
            </w:r>
          </w:p>
        </w:tc>
      </w:tr>
      <w:tr w:rsidR="0090609A" w:rsidRPr="00141577" w14:paraId="4D3B8108" w14:textId="77777777" w:rsidTr="008B7D15">
        <w:tc>
          <w:tcPr>
            <w:tcW w:w="1242" w:type="dxa"/>
          </w:tcPr>
          <w:p w14:paraId="2598DEE6" w14:textId="77777777" w:rsidR="0090609A" w:rsidRPr="00141577" w:rsidRDefault="0090609A" w:rsidP="00CC3F49">
            <w:pPr>
              <w:spacing w:line="240" w:lineRule="auto"/>
              <w:jc w:val="center"/>
              <w:rPr>
                <w:rFonts w:ascii="Calibri" w:hAnsi="Calibri"/>
                <w:sz w:val="18"/>
                <w:szCs w:val="18"/>
              </w:rPr>
            </w:pPr>
            <w:r>
              <w:rPr>
                <w:rFonts w:ascii="Calibri" w:hAnsi="Calibri"/>
                <w:sz w:val="18"/>
                <w:szCs w:val="18"/>
              </w:rPr>
              <w:t>4</w:t>
            </w:r>
          </w:p>
        </w:tc>
        <w:tc>
          <w:tcPr>
            <w:tcW w:w="1134" w:type="dxa"/>
          </w:tcPr>
          <w:p w14:paraId="6CE7CBE6" w14:textId="12ECC680" w:rsidR="0090609A" w:rsidRDefault="000E0189" w:rsidP="00CC3F49">
            <w:pPr>
              <w:spacing w:line="240" w:lineRule="auto"/>
              <w:jc w:val="center"/>
              <w:rPr>
                <w:rFonts w:ascii="Calibri" w:hAnsi="Calibri"/>
                <w:sz w:val="18"/>
                <w:szCs w:val="18"/>
              </w:rPr>
            </w:pPr>
            <w:r>
              <w:rPr>
                <w:rFonts w:ascii="Calibri" w:hAnsi="Calibri"/>
                <w:sz w:val="18"/>
                <w:szCs w:val="18"/>
              </w:rPr>
              <w:t>Aug</w:t>
            </w:r>
            <w:r w:rsidR="0090609A">
              <w:rPr>
                <w:rFonts w:ascii="Calibri" w:hAnsi="Calibri"/>
                <w:sz w:val="18"/>
                <w:szCs w:val="18"/>
              </w:rPr>
              <w:t xml:space="preserve"> 23</w:t>
            </w:r>
          </w:p>
        </w:tc>
        <w:tc>
          <w:tcPr>
            <w:tcW w:w="1701" w:type="dxa"/>
          </w:tcPr>
          <w:p w14:paraId="3CF2D8B6" w14:textId="77777777" w:rsidR="0090609A" w:rsidRPr="00141577" w:rsidRDefault="0090609A" w:rsidP="00CC3F49">
            <w:pPr>
              <w:spacing w:line="240" w:lineRule="auto"/>
              <w:jc w:val="center"/>
              <w:rPr>
                <w:rFonts w:ascii="Calibri" w:hAnsi="Calibri"/>
                <w:sz w:val="18"/>
                <w:szCs w:val="18"/>
              </w:rPr>
            </w:pPr>
          </w:p>
        </w:tc>
        <w:tc>
          <w:tcPr>
            <w:tcW w:w="3119" w:type="dxa"/>
          </w:tcPr>
          <w:p w14:paraId="5A41A691" w14:textId="77777777" w:rsidR="0090609A" w:rsidRPr="00141577" w:rsidRDefault="00FC664A" w:rsidP="00CC3F49">
            <w:pPr>
              <w:spacing w:line="240" w:lineRule="auto"/>
              <w:jc w:val="both"/>
              <w:rPr>
                <w:rFonts w:ascii="Calibri" w:hAnsi="Calibri"/>
                <w:sz w:val="18"/>
                <w:szCs w:val="18"/>
              </w:rPr>
            </w:pPr>
            <w:r>
              <w:rPr>
                <w:rFonts w:ascii="Calibri" w:hAnsi="Calibri"/>
                <w:sz w:val="18"/>
                <w:szCs w:val="18"/>
              </w:rPr>
              <w:t>Process reviewed and updated to include QSU revised process templates</w:t>
            </w:r>
          </w:p>
        </w:tc>
        <w:tc>
          <w:tcPr>
            <w:tcW w:w="1984" w:type="dxa"/>
          </w:tcPr>
          <w:p w14:paraId="0FB78278" w14:textId="3929C090" w:rsidR="0090609A" w:rsidRPr="00141577" w:rsidRDefault="006E4AD0" w:rsidP="00CC3F49">
            <w:pPr>
              <w:spacing w:line="240" w:lineRule="auto"/>
              <w:jc w:val="both"/>
              <w:rPr>
                <w:rFonts w:ascii="Calibri" w:hAnsi="Calibri"/>
                <w:sz w:val="18"/>
                <w:szCs w:val="18"/>
              </w:rPr>
            </w:pPr>
            <w:r>
              <w:rPr>
                <w:rFonts w:ascii="Calibri" w:hAnsi="Calibri"/>
                <w:sz w:val="18"/>
                <w:szCs w:val="18"/>
              </w:rPr>
              <w:t>Quality Team</w:t>
            </w:r>
          </w:p>
        </w:tc>
      </w:tr>
    </w:tbl>
    <w:p w14:paraId="1FC39945" w14:textId="77777777" w:rsidR="003118F7" w:rsidRDefault="003118F7" w:rsidP="00CC3F49">
      <w:pPr>
        <w:spacing w:line="240" w:lineRule="auto"/>
      </w:pPr>
    </w:p>
    <w:p w14:paraId="0562CB0E" w14:textId="77777777" w:rsidR="003118F7" w:rsidRDefault="003118F7" w:rsidP="00CC3F49">
      <w:pPr>
        <w:spacing w:line="240" w:lineRule="auto"/>
      </w:pPr>
    </w:p>
    <w:sectPr w:rsidR="003118F7" w:rsidSect="009C75F1">
      <w:footerReference w:type="default" r:id="rId1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772C0" w14:textId="77777777" w:rsidR="00653173" w:rsidRDefault="00653173" w:rsidP="000E0189">
      <w:pPr>
        <w:spacing w:after="0" w:line="240" w:lineRule="auto"/>
      </w:pPr>
      <w:r>
        <w:separator/>
      </w:r>
    </w:p>
  </w:endnote>
  <w:endnote w:type="continuationSeparator" w:id="0">
    <w:p w14:paraId="0397DDED" w14:textId="77777777" w:rsidR="00653173" w:rsidRDefault="00653173" w:rsidP="000E0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9063648"/>
      <w:docPartObj>
        <w:docPartGallery w:val="Page Numbers (Bottom of Page)"/>
        <w:docPartUnique/>
      </w:docPartObj>
    </w:sdtPr>
    <w:sdtEndPr>
      <w:rPr>
        <w:noProof/>
      </w:rPr>
    </w:sdtEndPr>
    <w:sdtContent>
      <w:p w14:paraId="72529362" w14:textId="017516AA" w:rsidR="000E0189" w:rsidRDefault="000E0189">
        <w:pPr>
          <w:pStyle w:val="Footer"/>
          <w:jc w:val="center"/>
        </w:pPr>
        <w:r>
          <w:fldChar w:fldCharType="begin"/>
        </w:r>
        <w:r>
          <w:instrText xml:space="preserve"> PAGE   \* MERGEFORMAT </w:instrText>
        </w:r>
        <w:r>
          <w:fldChar w:fldCharType="separate"/>
        </w:r>
        <w:r w:rsidR="00290F9F">
          <w:rPr>
            <w:noProof/>
          </w:rPr>
          <w:t>3</w:t>
        </w:r>
        <w:r>
          <w:rPr>
            <w:noProof/>
          </w:rPr>
          <w:fldChar w:fldCharType="end"/>
        </w:r>
      </w:p>
    </w:sdtContent>
  </w:sdt>
  <w:p w14:paraId="04158DE7" w14:textId="77777777" w:rsidR="000E0189" w:rsidRDefault="000E0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AFEB9" w14:textId="77777777" w:rsidR="00653173" w:rsidRDefault="00653173" w:rsidP="000E0189">
      <w:pPr>
        <w:spacing w:after="0" w:line="240" w:lineRule="auto"/>
      </w:pPr>
      <w:r>
        <w:separator/>
      </w:r>
    </w:p>
  </w:footnote>
  <w:footnote w:type="continuationSeparator" w:id="0">
    <w:p w14:paraId="277F36EA" w14:textId="77777777" w:rsidR="00653173" w:rsidRDefault="00653173" w:rsidP="000E01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529C"/>
    <w:multiLevelType w:val="hybridMultilevel"/>
    <w:tmpl w:val="035EB0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00F3148"/>
    <w:multiLevelType w:val="hybridMultilevel"/>
    <w:tmpl w:val="929CF6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8F7"/>
    <w:rsid w:val="00045EA0"/>
    <w:rsid w:val="00046162"/>
    <w:rsid w:val="000E0189"/>
    <w:rsid w:val="00290F9F"/>
    <w:rsid w:val="002B7492"/>
    <w:rsid w:val="003118F7"/>
    <w:rsid w:val="004A13E8"/>
    <w:rsid w:val="00653173"/>
    <w:rsid w:val="006C4016"/>
    <w:rsid w:val="006D2D9D"/>
    <w:rsid w:val="006E4AD0"/>
    <w:rsid w:val="00775C79"/>
    <w:rsid w:val="008B4945"/>
    <w:rsid w:val="0090609A"/>
    <w:rsid w:val="009C75F1"/>
    <w:rsid w:val="00B7060B"/>
    <w:rsid w:val="00CC3F49"/>
    <w:rsid w:val="00FC664A"/>
    <w:rsid w:val="029C0DD0"/>
    <w:rsid w:val="03512FCB"/>
    <w:rsid w:val="03E17CE0"/>
    <w:rsid w:val="04F593D7"/>
    <w:rsid w:val="06143AF5"/>
    <w:rsid w:val="064C6E97"/>
    <w:rsid w:val="0C43D1CD"/>
    <w:rsid w:val="11FAD357"/>
    <w:rsid w:val="19ECBCDF"/>
    <w:rsid w:val="1B6A2163"/>
    <w:rsid w:val="1C22A64F"/>
    <w:rsid w:val="22C090D6"/>
    <w:rsid w:val="272D425D"/>
    <w:rsid w:val="28AEFDB5"/>
    <w:rsid w:val="295AD33B"/>
    <w:rsid w:val="2AEF9D8B"/>
    <w:rsid w:val="2C582E1E"/>
    <w:rsid w:val="2C740820"/>
    <w:rsid w:val="2EA960BC"/>
    <w:rsid w:val="31D72A2F"/>
    <w:rsid w:val="322EA732"/>
    <w:rsid w:val="336D8737"/>
    <w:rsid w:val="347FD92B"/>
    <w:rsid w:val="35CF1AF5"/>
    <w:rsid w:val="384C2B55"/>
    <w:rsid w:val="3E6801B9"/>
    <w:rsid w:val="45CABA55"/>
    <w:rsid w:val="46C9A825"/>
    <w:rsid w:val="4C6ECAD5"/>
    <w:rsid w:val="4EDA1C05"/>
    <w:rsid w:val="51CDDAF3"/>
    <w:rsid w:val="52E82E58"/>
    <w:rsid w:val="558154B1"/>
    <w:rsid w:val="571D2512"/>
    <w:rsid w:val="5782CFEA"/>
    <w:rsid w:val="632A4C60"/>
    <w:rsid w:val="63EF14C1"/>
    <w:rsid w:val="67621C00"/>
    <w:rsid w:val="6AF754E1"/>
    <w:rsid w:val="6B963460"/>
    <w:rsid w:val="6F6BD047"/>
    <w:rsid w:val="7400910D"/>
    <w:rsid w:val="77BBDC7A"/>
    <w:rsid w:val="7A9EB69C"/>
    <w:rsid w:val="7ADDAD70"/>
    <w:rsid w:val="7CDE5002"/>
    <w:rsid w:val="7D932545"/>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1D478"/>
  <w15:chartTrackingRefBased/>
  <w15:docId w15:val="{2E4C4E23-CACA-4347-A8D3-498EACA24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8F7"/>
    <w:pPr>
      <w:spacing w:after="120" w:line="276" w:lineRule="auto"/>
    </w:pPr>
    <w:rPr>
      <w:rFonts w:eastAsiaTheme="minorHAnsi"/>
      <w:lang w:eastAsia="en-US"/>
    </w:rPr>
  </w:style>
  <w:style w:type="paragraph" w:styleId="Heading1">
    <w:name w:val="heading 1"/>
    <w:basedOn w:val="Normal"/>
    <w:next w:val="Normal"/>
    <w:link w:val="Heading1Char"/>
    <w:uiPriority w:val="9"/>
    <w:qFormat/>
    <w:rsid w:val="003118F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3118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8F7"/>
    <w:rPr>
      <w:rFonts w:asciiTheme="majorHAnsi" w:eastAsiaTheme="majorEastAsia" w:hAnsiTheme="majorHAnsi" w:cstheme="majorBidi"/>
      <w:b/>
      <w:bCs/>
      <w:color w:val="2E74B5" w:themeColor="accent1" w:themeShade="BF"/>
      <w:sz w:val="28"/>
      <w:szCs w:val="28"/>
      <w:lang w:eastAsia="en-US"/>
    </w:rPr>
  </w:style>
  <w:style w:type="paragraph" w:styleId="ListParagraph">
    <w:name w:val="List Paragraph"/>
    <w:basedOn w:val="Normal"/>
    <w:uiPriority w:val="34"/>
    <w:qFormat/>
    <w:rsid w:val="003118F7"/>
    <w:pPr>
      <w:ind w:left="720"/>
      <w:contextualSpacing/>
    </w:pPr>
  </w:style>
  <w:style w:type="character" w:styleId="Hyperlink">
    <w:name w:val="Hyperlink"/>
    <w:basedOn w:val="DefaultParagraphFont"/>
    <w:uiPriority w:val="99"/>
    <w:unhideWhenUsed/>
    <w:rsid w:val="003118F7"/>
    <w:rPr>
      <w:color w:val="0563C1" w:themeColor="hyperlink"/>
      <w:u w:val="single"/>
    </w:rPr>
  </w:style>
  <w:style w:type="character" w:customStyle="1" w:styleId="Heading2Char">
    <w:name w:val="Heading 2 Char"/>
    <w:basedOn w:val="DefaultParagraphFont"/>
    <w:link w:val="Heading2"/>
    <w:uiPriority w:val="9"/>
    <w:semiHidden/>
    <w:rsid w:val="003118F7"/>
    <w:rPr>
      <w:rFonts w:asciiTheme="majorHAnsi" w:eastAsiaTheme="majorEastAsia" w:hAnsiTheme="majorHAnsi" w:cstheme="majorBidi"/>
      <w:color w:val="2E74B5" w:themeColor="accent1" w:themeShade="BF"/>
      <w:sz w:val="26"/>
      <w:szCs w:val="26"/>
      <w:lang w:eastAsia="en-US"/>
    </w:rPr>
  </w:style>
  <w:style w:type="paragraph" w:styleId="CommentText">
    <w:name w:val="annotation text"/>
    <w:basedOn w:val="Normal"/>
    <w:link w:val="CommentTextChar"/>
    <w:uiPriority w:val="99"/>
    <w:semiHidden/>
    <w:unhideWhenUsed/>
    <w:rsid w:val="003118F7"/>
    <w:pPr>
      <w:spacing w:line="240" w:lineRule="auto"/>
    </w:pPr>
    <w:rPr>
      <w:sz w:val="20"/>
      <w:szCs w:val="20"/>
    </w:rPr>
  </w:style>
  <w:style w:type="character" w:customStyle="1" w:styleId="CommentTextChar">
    <w:name w:val="Comment Text Char"/>
    <w:basedOn w:val="DefaultParagraphFont"/>
    <w:link w:val="CommentText"/>
    <w:uiPriority w:val="99"/>
    <w:semiHidden/>
    <w:rsid w:val="003118F7"/>
    <w:rPr>
      <w:rFonts w:eastAsiaTheme="minorHAnsi"/>
      <w:sz w:val="20"/>
      <w:szCs w:val="20"/>
      <w:lang w:eastAsia="en-US"/>
    </w:rPr>
  </w:style>
  <w:style w:type="character" w:styleId="CommentReference">
    <w:name w:val="annotation reference"/>
    <w:basedOn w:val="DefaultParagraphFont"/>
    <w:uiPriority w:val="99"/>
    <w:semiHidden/>
    <w:unhideWhenUsed/>
    <w:rsid w:val="003118F7"/>
    <w:rPr>
      <w:sz w:val="16"/>
      <w:szCs w:val="16"/>
    </w:rPr>
  </w:style>
  <w:style w:type="paragraph" w:styleId="BalloonText">
    <w:name w:val="Balloon Text"/>
    <w:basedOn w:val="Normal"/>
    <w:link w:val="BalloonTextChar"/>
    <w:uiPriority w:val="99"/>
    <w:semiHidden/>
    <w:unhideWhenUsed/>
    <w:rsid w:val="003118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8F7"/>
    <w:rPr>
      <w:rFonts w:ascii="Segoe UI" w:eastAsiaTheme="minorHAnsi" w:hAnsi="Segoe UI" w:cs="Segoe UI"/>
      <w:sz w:val="18"/>
      <w:szCs w:val="18"/>
      <w:lang w:eastAsia="en-US"/>
    </w:rPr>
  </w:style>
  <w:style w:type="paragraph" w:styleId="Revision">
    <w:name w:val="Revision"/>
    <w:hidden/>
    <w:uiPriority w:val="99"/>
    <w:semiHidden/>
    <w:rsid w:val="00CC3F49"/>
    <w:pPr>
      <w:spacing w:after="0" w:line="240" w:lineRule="auto"/>
    </w:pPr>
    <w:rPr>
      <w:rFonts w:eastAsiaTheme="minorHAnsi"/>
      <w:lang w:eastAsia="en-US"/>
    </w:rPr>
  </w:style>
  <w:style w:type="paragraph" w:styleId="Header">
    <w:name w:val="header"/>
    <w:basedOn w:val="Normal"/>
    <w:link w:val="HeaderChar"/>
    <w:uiPriority w:val="99"/>
    <w:unhideWhenUsed/>
    <w:rsid w:val="000E01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189"/>
    <w:rPr>
      <w:rFonts w:eastAsiaTheme="minorHAnsi"/>
      <w:lang w:eastAsia="en-US"/>
    </w:rPr>
  </w:style>
  <w:style w:type="paragraph" w:styleId="Footer">
    <w:name w:val="footer"/>
    <w:basedOn w:val="Normal"/>
    <w:link w:val="FooterChar"/>
    <w:uiPriority w:val="99"/>
    <w:unhideWhenUsed/>
    <w:rsid w:val="000E01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189"/>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l.ie/hr/current-staff/hr-procedures-forms-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pandbens@ul.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l.ie/hr/new-ul-staff-roadmap/new-to-ul-staff-roadmap" TargetMode="External"/><Relationship Id="rId5" Type="http://schemas.openxmlformats.org/officeDocument/2006/relationships/styles" Target="styles.xml"/><Relationship Id="rId15" Type="http://schemas.openxmlformats.org/officeDocument/2006/relationships/hyperlink" Target="https://www.ul.ie/policy-hub/sites/policyhub/files/user_media/documents/policies/Data%20Protection%20Policy.pdf" TargetMode="Externa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l.ie/hr/current-staff/health-safety-ul/safety-representat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3240e6-4854-462f-b967-ef5b3438e6a4" xsi:nil="true"/>
    <lcf76f155ced4ddcb4097134ff3c332f xmlns="56c34958-7e6f-4880-b112-7b2977e19f4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D21F1D577DF04AA991DD1AC76CBAF6" ma:contentTypeVersion="17" ma:contentTypeDescription="Create a new document." ma:contentTypeScope="" ma:versionID="e65afcd5cf5d43f0d683fca5fd3cf363">
  <xsd:schema xmlns:xsd="http://www.w3.org/2001/XMLSchema" xmlns:xs="http://www.w3.org/2001/XMLSchema" xmlns:p="http://schemas.microsoft.com/office/2006/metadata/properties" xmlns:ns2="56c34958-7e6f-4880-b112-7b2977e19f44" xmlns:ns3="c43240e6-4854-462f-b967-ef5b3438e6a4" targetNamespace="http://schemas.microsoft.com/office/2006/metadata/properties" ma:root="true" ma:fieldsID="6edf6f7dc4e77564cf44f2ad0e3e24bc" ns2:_="" ns3:_="">
    <xsd:import namespace="56c34958-7e6f-4880-b112-7b2977e19f44"/>
    <xsd:import namespace="c43240e6-4854-462f-b967-ef5b3438e6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34958-7e6f-4880-b112-7b2977e19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10f980-e4f4-45de-9314-4559498517c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3240e6-4854-462f-b967-ef5b3438e6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8b614cd-513e-4f13-94f5-d3bf393c1b36}" ma:internalName="TaxCatchAll" ma:showField="CatchAllData" ma:web="c43240e6-4854-462f-b967-ef5b3438e6a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935D18-44C4-44B4-B2FC-C32BC1F53DC1}">
  <ds:schemaRefs>
    <ds:schemaRef ds:uri="http://schemas.microsoft.com/office/2006/metadata/properties"/>
    <ds:schemaRef ds:uri="http://schemas.microsoft.com/office/infopath/2007/PartnerControls"/>
    <ds:schemaRef ds:uri="c43240e6-4854-462f-b967-ef5b3438e6a4"/>
    <ds:schemaRef ds:uri="56c34958-7e6f-4880-b112-7b2977e19f44"/>
  </ds:schemaRefs>
</ds:datastoreItem>
</file>

<file path=customXml/itemProps2.xml><?xml version="1.0" encoding="utf-8"?>
<ds:datastoreItem xmlns:ds="http://schemas.openxmlformats.org/officeDocument/2006/customXml" ds:itemID="{F1B2120B-987D-4B00-BE96-D965E93E9442}">
  <ds:schemaRefs>
    <ds:schemaRef ds:uri="http://schemas.microsoft.com/sharepoint/v3/contenttype/forms"/>
  </ds:schemaRefs>
</ds:datastoreItem>
</file>

<file path=customXml/itemProps3.xml><?xml version="1.0" encoding="utf-8"?>
<ds:datastoreItem xmlns:ds="http://schemas.openxmlformats.org/officeDocument/2006/customXml" ds:itemID="{62BE513E-FBC2-4C3C-A9D2-552F4069C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34958-7e6f-4880-b112-7b2977e19f44"/>
    <ds:schemaRef ds:uri="c43240e6-4854-462f-b967-ef5b3438e6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Patricia.Moriarty</dc:creator>
  <cp:keywords/>
  <dc:description/>
  <cp:lastModifiedBy>Sean.Costello</cp:lastModifiedBy>
  <cp:revision>2</cp:revision>
  <dcterms:created xsi:type="dcterms:W3CDTF">2023-09-22T10:19:00Z</dcterms:created>
  <dcterms:modified xsi:type="dcterms:W3CDTF">2023-09-22T10:19:00Z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0x01010089D21F1D577DF04AA991DD1AC76CBAF6</vt:lpwstr>
  </property>
  <property fmtid="{D5CDD505-2E9C-101B-9397-08002B2CF9AE}" pid="3" name="MediaServiceImageTags">
    <vt:lpwstr/>
  </property>
</Properties>
</file>