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6A662" w14:textId="5BBED49C" w:rsidR="00984D8E" w:rsidRDefault="1909BF36" w:rsidP="00984D8E">
      <w:pPr>
        <w:pStyle w:val="Header"/>
        <w:jc w:val="center"/>
      </w:pPr>
      <w:bookmarkStart w:id="0" w:name="_GoBack"/>
      <w:bookmarkEnd w:id="0"/>
      <w:r>
        <w:rPr>
          <w:noProof/>
          <w:lang w:eastAsia="ja-JP"/>
        </w:rPr>
        <w:drawing>
          <wp:inline distT="0" distB="0" distL="0" distR="0" wp14:anchorId="19ED2E05" wp14:editId="6B1C6C7D">
            <wp:extent cx="3276600" cy="914400"/>
            <wp:effectExtent l="0" t="0" r="0" b="0"/>
            <wp:docPr id="1803876109" name="Picture 1803876109" descr="Student Affairs Divi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C75">
        <w:br/>
      </w:r>
    </w:p>
    <w:p w14:paraId="0CB6A663" w14:textId="77777777" w:rsidR="00984D8E" w:rsidRDefault="00984D8E" w:rsidP="00984D8E">
      <w:pPr>
        <w:pStyle w:val="Header"/>
      </w:pPr>
    </w:p>
    <w:p w14:paraId="0CB6A664" w14:textId="1B4A1FEA" w:rsidR="00331500" w:rsidRDefault="00984D8E" w:rsidP="00984D8E">
      <w:pPr>
        <w:pStyle w:val="Heading1"/>
        <w:spacing w:before="0"/>
        <w:jc w:val="center"/>
        <w:rPr>
          <w:color w:val="005335"/>
        </w:rPr>
      </w:pPr>
      <w:r w:rsidRPr="00020C75">
        <w:rPr>
          <w:color w:val="005335"/>
        </w:rPr>
        <w:t>Process Title</w:t>
      </w:r>
    </w:p>
    <w:p w14:paraId="05B720F7" w14:textId="77777777" w:rsidR="00020C75" w:rsidRPr="00020C75" w:rsidRDefault="00020C75" w:rsidP="00020C75"/>
    <w:p w14:paraId="0CB6A666" w14:textId="6B1B5CCE" w:rsidR="0039292F" w:rsidRPr="00A44D20" w:rsidRDefault="00984D8E" w:rsidP="5DDABD0E">
      <w:pPr>
        <w:pStyle w:val="Heading1"/>
        <w:spacing w:before="0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PURPOSE</w:t>
      </w:r>
    </w:p>
    <w:p w14:paraId="060BAE94" w14:textId="48F003C8" w:rsidR="3C93E6B3" w:rsidRDefault="2AB4DAB2" w:rsidP="5DDABD0E">
      <w:r>
        <w:t xml:space="preserve">This document outlines the </w:t>
      </w:r>
      <w:r w:rsidR="07F9DFC3">
        <w:t>activities of</w:t>
      </w:r>
      <w:r w:rsidR="1DAE683A">
        <w:t xml:space="preserve"> the Educational Assistive Technology Centre (EATC)</w:t>
      </w:r>
      <w:r w:rsidR="21ADFCB8">
        <w:t xml:space="preserve">, which </w:t>
      </w:r>
      <w:r w:rsidR="2D33F86C">
        <w:t xml:space="preserve">primarily </w:t>
      </w:r>
      <w:r w:rsidR="21ADFCB8">
        <w:t>works to</w:t>
      </w:r>
      <w:r w:rsidR="1DAE683A">
        <w:t xml:space="preserve"> deliver Assistive Technology (AT) support to students </w:t>
      </w:r>
      <w:r w:rsidR="572EC59B">
        <w:t>at</w:t>
      </w:r>
      <w:r w:rsidR="1DAE683A">
        <w:t xml:space="preserve"> the University of L</w:t>
      </w:r>
      <w:r w:rsidR="755CD85A">
        <w:t>i</w:t>
      </w:r>
      <w:r w:rsidR="1DAE683A">
        <w:t>merick.</w:t>
      </w:r>
    </w:p>
    <w:p w14:paraId="0CB6A667" w14:textId="77777777" w:rsidR="00EA4528" w:rsidRDefault="00EA4528" w:rsidP="0039292F">
      <w:pPr>
        <w:spacing w:after="0"/>
      </w:pPr>
    </w:p>
    <w:p w14:paraId="0CB6A66B" w14:textId="25FD6B61" w:rsidR="00AF6FF5" w:rsidRDefault="00AF6FF5" w:rsidP="5DDABD0E">
      <w:pPr>
        <w:pStyle w:val="Heading1"/>
        <w:spacing w:before="0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RESPONSIBILITY</w:t>
      </w:r>
    </w:p>
    <w:p w14:paraId="06C007AD" w14:textId="2044373F" w:rsidR="76B82B18" w:rsidRDefault="76B82B18" w:rsidP="5DDABD0E">
      <w:r>
        <w:t xml:space="preserve">Overall </w:t>
      </w:r>
      <w:r w:rsidR="4DEF0596">
        <w:t>responsibility</w:t>
      </w:r>
      <w:r>
        <w:t xml:space="preserve"> for th</w:t>
      </w:r>
      <w:r w:rsidR="6B8FC095">
        <w:t>is process</w:t>
      </w:r>
      <w:r>
        <w:t xml:space="preserve"> lies with the Head of the Educational Assistive Technology Centre. Implementation of the procedures in this document relies on the collaboration and input of all EATC staff</w:t>
      </w:r>
      <w:r w:rsidR="560A9DB1">
        <w:t>.</w:t>
      </w:r>
    </w:p>
    <w:p w14:paraId="1CABA2EF" w14:textId="7EC349D1" w:rsidR="5DDABD0E" w:rsidRDefault="5DDABD0E" w:rsidP="5DDABD0E"/>
    <w:p w14:paraId="0CB6A66F" w14:textId="4362EF8C" w:rsidR="00A44D20" w:rsidRPr="00A44D20" w:rsidRDefault="00F854DD" w:rsidP="5DDABD0E">
      <w:pPr>
        <w:pStyle w:val="Heading1"/>
        <w:spacing w:before="0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PROCEDURE</w:t>
      </w:r>
    </w:p>
    <w:p w14:paraId="6B2B3220" w14:textId="02DD9E9A" w:rsidR="3C6BF2E4" w:rsidRDefault="3C6BF2E4" w:rsidP="68EC3F22">
      <w:r>
        <w:t xml:space="preserve">The EATC works to </w:t>
      </w:r>
      <w:r w:rsidR="478FA71B">
        <w:t xml:space="preserve">foster a culture of inclusive practice for teaching and learning. Primarily, EATC works with students with disabilities to provide technology </w:t>
      </w:r>
      <w:r w:rsidR="47B84AB9">
        <w:t>solutions to</w:t>
      </w:r>
      <w:r w:rsidR="0C073DC1">
        <w:t xml:space="preserve"> enable them to overcome </w:t>
      </w:r>
      <w:r w:rsidR="361E4118">
        <w:t>ed</w:t>
      </w:r>
      <w:r w:rsidR="0C073DC1">
        <w:t>ucation</w:t>
      </w:r>
      <w:r w:rsidR="0DAF0298">
        <w:t>al barriers</w:t>
      </w:r>
      <w:r w:rsidR="0C073DC1">
        <w:t xml:space="preserve">. Furthermore, EATC works on projects </w:t>
      </w:r>
      <w:r w:rsidR="6B4C0CFE">
        <w:t xml:space="preserve">to develop and introduce new technologies, while also advocating for the implementation of, </w:t>
      </w:r>
      <w:r w:rsidR="371B15F6">
        <w:t>while also</w:t>
      </w:r>
      <w:r w:rsidR="6B4C0CFE">
        <w:t xml:space="preserve"> advocating for the </w:t>
      </w:r>
      <w:r w:rsidR="1F0C3ADB">
        <w:t>implementation of the Universal Design for Learning (UDL) framework.</w:t>
      </w:r>
    </w:p>
    <w:p w14:paraId="491E7376" w14:textId="42F8122A" w:rsidR="1F0C3ADB" w:rsidRDefault="1F0C3ADB" w:rsidP="68EC3F22">
      <w:r>
        <w:t xml:space="preserve">The work of the EATC </w:t>
      </w:r>
      <w:proofErr w:type="gramStart"/>
      <w:r>
        <w:t>can be divided</w:t>
      </w:r>
      <w:proofErr w:type="gramEnd"/>
      <w:r>
        <w:t xml:space="preserve"> into several key areas as follows:</w:t>
      </w:r>
    </w:p>
    <w:p w14:paraId="40C8500C" w14:textId="45FA2BF1" w:rsidR="46209AB1" w:rsidRDefault="46209AB1" w:rsidP="68EC3F22">
      <w:pPr>
        <w:pStyle w:val="ListParagraph"/>
        <w:numPr>
          <w:ilvl w:val="0"/>
          <w:numId w:val="2"/>
        </w:numPr>
      </w:pPr>
      <w:r>
        <w:t>Assistive Technology Assessment</w:t>
      </w:r>
    </w:p>
    <w:p w14:paraId="73A4973F" w14:textId="3BC59D79" w:rsidR="7897BE0B" w:rsidRDefault="7897BE0B" w:rsidP="68EC3F22">
      <w:pPr>
        <w:pStyle w:val="ListParagraph"/>
        <w:numPr>
          <w:ilvl w:val="0"/>
          <w:numId w:val="2"/>
        </w:numPr>
      </w:pPr>
      <w:r>
        <w:t xml:space="preserve">Procurement and Allocation of Technology </w:t>
      </w:r>
    </w:p>
    <w:p w14:paraId="4C72AEE7" w14:textId="6174995E" w:rsidR="46209AB1" w:rsidRDefault="46209AB1" w:rsidP="68EC3F22">
      <w:pPr>
        <w:pStyle w:val="ListParagraph"/>
        <w:numPr>
          <w:ilvl w:val="0"/>
          <w:numId w:val="2"/>
        </w:numPr>
      </w:pPr>
      <w:r>
        <w:t>Assistive Technology Training</w:t>
      </w:r>
    </w:p>
    <w:p w14:paraId="63A574C2" w14:textId="66A75C5C" w:rsidR="098F2151" w:rsidRDefault="098F2151" w:rsidP="68EC3F22">
      <w:pPr>
        <w:pStyle w:val="ListParagraph"/>
        <w:numPr>
          <w:ilvl w:val="0"/>
          <w:numId w:val="2"/>
        </w:numPr>
      </w:pPr>
      <w:r>
        <w:t>Facilitation of End of Semester Examinations</w:t>
      </w:r>
    </w:p>
    <w:p w14:paraId="72ED4854" w14:textId="3CE2B60E" w:rsidR="098F2151" w:rsidRDefault="098F2151" w:rsidP="68EC3F22">
      <w:pPr>
        <w:pStyle w:val="ListParagraph"/>
        <w:numPr>
          <w:ilvl w:val="0"/>
          <w:numId w:val="2"/>
        </w:numPr>
      </w:pPr>
      <w:r>
        <w:t>Inclusive Projects</w:t>
      </w:r>
    </w:p>
    <w:p w14:paraId="2048F773" w14:textId="1CF804FF" w:rsidR="098F2151" w:rsidRDefault="098F2151" w:rsidP="68EC3F22">
      <w:pPr>
        <w:pStyle w:val="ListParagraph"/>
        <w:numPr>
          <w:ilvl w:val="0"/>
          <w:numId w:val="2"/>
        </w:numPr>
      </w:pPr>
      <w:r>
        <w:t>Outreach</w:t>
      </w:r>
    </w:p>
    <w:p w14:paraId="4CBB5CC5" w14:textId="5AE3F2AB" w:rsidR="4279BFE3" w:rsidRDefault="4279BFE3" w:rsidP="68EC3F22">
      <w:r>
        <w:t>Each</w:t>
      </w:r>
      <w:r w:rsidR="6EE6058C">
        <w:t xml:space="preserve"> area</w:t>
      </w:r>
      <w:r>
        <w:t xml:space="preserve"> </w:t>
      </w:r>
      <w:proofErr w:type="gramStart"/>
      <w:r>
        <w:t>is summarised</w:t>
      </w:r>
      <w:proofErr w:type="gramEnd"/>
      <w:r>
        <w:t xml:space="preserve"> below, with relevant working guidelines provided in</w:t>
      </w:r>
      <w:r w:rsidR="037DD799">
        <w:t xml:space="preserve"> the Documentation section.</w:t>
      </w:r>
    </w:p>
    <w:p w14:paraId="0B5A1221" w14:textId="449E47DE" w:rsidR="2C81BAA8" w:rsidRDefault="2C81BAA8" w:rsidP="68EC3F22">
      <w:pPr>
        <w:rPr>
          <w:b/>
          <w:bCs/>
        </w:rPr>
      </w:pPr>
      <w:r w:rsidRPr="68EC3F22">
        <w:rPr>
          <w:b/>
          <w:bCs/>
        </w:rPr>
        <w:t>Assistive Technology Assessments</w:t>
      </w:r>
    </w:p>
    <w:p w14:paraId="2FE1181D" w14:textId="7B6CBF58" w:rsidR="2C81BAA8" w:rsidRDefault="2C81BAA8" w:rsidP="68EC3F22">
      <w:r>
        <w:t xml:space="preserve">In collaboration </w:t>
      </w:r>
      <w:r w:rsidR="6229E0CA">
        <w:t>with</w:t>
      </w:r>
      <w:r>
        <w:t xml:space="preserve"> Disability Support Services (DSS), EATC identifies students with disabilities who require support. EATC staff meet with students and carry out a</w:t>
      </w:r>
      <w:r w:rsidR="6696D070">
        <w:t>n</w:t>
      </w:r>
      <w:r>
        <w:t xml:space="preserve"> </w:t>
      </w:r>
      <w:r w:rsidR="0B202567">
        <w:t xml:space="preserve">AT Needs Assessment to identify </w:t>
      </w:r>
      <w:r w:rsidR="61F5F936">
        <w:t xml:space="preserve">potential </w:t>
      </w:r>
      <w:r w:rsidR="0B202567">
        <w:t>solutions.</w:t>
      </w:r>
      <w:r w:rsidR="0FBEAAA1">
        <w:t xml:space="preserve"> After this assessment, EATC staff update the Accessibility Accommodations Module (AAM) on the Student Information (SI) system.</w:t>
      </w:r>
    </w:p>
    <w:p w14:paraId="6AEB98EE" w14:textId="19546362" w:rsidR="0B202567" w:rsidRDefault="0B202567" w:rsidP="68EC3F22">
      <w:r w:rsidRPr="68EC3F22">
        <w:rPr>
          <w:b/>
          <w:bCs/>
        </w:rPr>
        <w:t>Procurement and Allocation of Technology</w:t>
      </w:r>
    </w:p>
    <w:p w14:paraId="652DA2E3" w14:textId="5E5FA29A" w:rsidR="0B202567" w:rsidRDefault="0B202567" w:rsidP="68EC3F22">
      <w:r>
        <w:lastRenderedPageBreak/>
        <w:t xml:space="preserve">Working within relevant procurement policies and funding sources, EATC staff procure necessary software and hardware to meet student needs. </w:t>
      </w:r>
      <w:r w:rsidR="4DE79758">
        <w:t>EATC staff maintain records of all technology</w:t>
      </w:r>
      <w:r w:rsidR="0B47539C">
        <w:t xml:space="preserve"> and details of each student to which technology </w:t>
      </w:r>
      <w:proofErr w:type="gramStart"/>
      <w:r w:rsidR="0B47539C">
        <w:t xml:space="preserve">is </w:t>
      </w:r>
      <w:r w:rsidR="4DE79758">
        <w:t xml:space="preserve"> allocated</w:t>
      </w:r>
      <w:proofErr w:type="gramEnd"/>
      <w:r w:rsidR="4DE79758">
        <w:t>.</w:t>
      </w:r>
      <w:r w:rsidR="5E684BC8">
        <w:t xml:space="preserve"> </w:t>
      </w:r>
      <w:r w:rsidR="0E1E707F">
        <w:t>EATC staff work with DSS at designated times each year</w:t>
      </w:r>
      <w:r w:rsidR="5CD532DC">
        <w:t xml:space="preserve"> to complete a fina</w:t>
      </w:r>
      <w:r w:rsidR="0965BF98">
        <w:t>ncial return to the Higher Education Authority.</w:t>
      </w:r>
    </w:p>
    <w:p w14:paraId="0B793034" w14:textId="427A9C55" w:rsidR="4DE79758" w:rsidRDefault="4DE79758" w:rsidP="68EC3F22">
      <w:r w:rsidRPr="68EC3F22">
        <w:rPr>
          <w:b/>
          <w:bCs/>
        </w:rPr>
        <w:t>Assistive Technology Training</w:t>
      </w:r>
    </w:p>
    <w:p w14:paraId="5317D9A6" w14:textId="34546FD1" w:rsidR="4DE79758" w:rsidRDefault="4DE79758" w:rsidP="68EC3F22">
      <w:r>
        <w:t xml:space="preserve">EATC staff develop AT training plans for each student. EATC staff deliver </w:t>
      </w:r>
      <w:r w:rsidR="589BE455">
        <w:t>training to students on both an individ</w:t>
      </w:r>
      <w:r w:rsidR="6E4572A3">
        <w:t>ua</w:t>
      </w:r>
      <w:r w:rsidR="589BE455">
        <w:t>l and group basis.</w:t>
      </w:r>
    </w:p>
    <w:p w14:paraId="6C302881" w14:textId="2C6237C1" w:rsidR="3D24A67C" w:rsidRDefault="3D24A67C" w:rsidP="68EC3F22">
      <w:pPr>
        <w:rPr>
          <w:b/>
          <w:bCs/>
        </w:rPr>
      </w:pPr>
      <w:r w:rsidRPr="68EC3F22">
        <w:rPr>
          <w:b/>
          <w:bCs/>
        </w:rPr>
        <w:t>Facilitation of End of Semester Exams</w:t>
      </w:r>
    </w:p>
    <w:p w14:paraId="31057312" w14:textId="6BAFD4E5" w:rsidR="3D24A67C" w:rsidRDefault="3D24A67C" w:rsidP="68EC3F22">
      <w:r>
        <w:t>In cooperation with DSS</w:t>
      </w:r>
      <w:r w:rsidR="2C2CCA4C">
        <w:t>, the Information Technology Division (ITD),</w:t>
      </w:r>
      <w:r>
        <w:t xml:space="preserve"> and Academic Registry (AR), EATC coordinates all AT required for examination periods. EATC staff prepare</w:t>
      </w:r>
      <w:r w:rsidR="4422D4CF">
        <w:t xml:space="preserve"> the exam computer lab and work with students to ensure their requir</w:t>
      </w:r>
      <w:r w:rsidR="7BEF822F">
        <w:t>e</w:t>
      </w:r>
      <w:r w:rsidR="4422D4CF">
        <w:t xml:space="preserve">ments </w:t>
      </w:r>
      <w:proofErr w:type="gramStart"/>
      <w:r w:rsidR="4422D4CF">
        <w:t>are met</w:t>
      </w:r>
      <w:proofErr w:type="gramEnd"/>
      <w:r w:rsidR="4422D4CF">
        <w:t>.</w:t>
      </w:r>
      <w:r>
        <w:t xml:space="preserve"> </w:t>
      </w:r>
      <w:r w:rsidR="38EB3BE8">
        <w:t>During exams, EATC staff provide technical support where neede</w:t>
      </w:r>
      <w:r w:rsidR="17D9E520">
        <w:t>d.</w:t>
      </w:r>
    </w:p>
    <w:p w14:paraId="69D8952D" w14:textId="2FD540D5" w:rsidR="17D9E520" w:rsidRDefault="17D9E520" w:rsidP="68EC3F22">
      <w:r w:rsidRPr="68EC3F22">
        <w:rPr>
          <w:b/>
          <w:bCs/>
        </w:rPr>
        <w:t>Inclusive Projects</w:t>
      </w:r>
    </w:p>
    <w:p w14:paraId="5166BCA0" w14:textId="54D862A6" w:rsidR="17D9E520" w:rsidRDefault="17D9E520" w:rsidP="68EC3F22">
      <w:r>
        <w:t xml:space="preserve">EATC staff research, propose and implement various projects. These projects aim to increase inclusivity and accessibility within </w:t>
      </w:r>
      <w:r w:rsidR="358AD7D6">
        <w:t>learning and teaching.</w:t>
      </w:r>
    </w:p>
    <w:p w14:paraId="65655482" w14:textId="18030F27" w:rsidR="358AD7D6" w:rsidRDefault="358AD7D6" w:rsidP="68EC3F22">
      <w:r w:rsidRPr="68EC3F22">
        <w:rPr>
          <w:b/>
          <w:bCs/>
        </w:rPr>
        <w:t>Outreach</w:t>
      </w:r>
    </w:p>
    <w:p w14:paraId="0CBEB73C" w14:textId="12B9F359" w:rsidR="358AD7D6" w:rsidRDefault="358AD7D6" w:rsidP="68EC3F22">
      <w:r>
        <w:t xml:space="preserve">The EATC department receives requests from the wider community to provide AT support and training. These requests </w:t>
      </w:r>
      <w:proofErr w:type="gramStart"/>
      <w:r>
        <w:t>are processed</w:t>
      </w:r>
      <w:proofErr w:type="gramEnd"/>
      <w:r>
        <w:t xml:space="preserve"> according to the latest outreach proc</w:t>
      </w:r>
      <w:r w:rsidR="2895DC25">
        <w:t>edure.</w:t>
      </w:r>
    </w:p>
    <w:p w14:paraId="151AA942" w14:textId="7DAB56D8" w:rsidR="68EC3F22" w:rsidRDefault="68EC3F22" w:rsidP="68EC3F22"/>
    <w:p w14:paraId="0CB6A673" w14:textId="63DD8231" w:rsidR="00A44D20" w:rsidRPr="00A44D20" w:rsidRDefault="00A44D20" w:rsidP="5DDABD0E">
      <w:pPr>
        <w:pStyle w:val="Heading1"/>
        <w:spacing w:before="0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DOCUMENTATION</w:t>
      </w:r>
    </w:p>
    <w:p w14:paraId="12BC5427" w14:textId="6BA69750" w:rsidR="5DDABD0E" w:rsidRDefault="00E73EEF" w:rsidP="68EC3F22">
      <w:pPr>
        <w:pStyle w:val="ListParagraph"/>
        <w:numPr>
          <w:ilvl w:val="0"/>
          <w:numId w:val="1"/>
        </w:numPr>
      </w:pPr>
      <w:hyperlink r:id="rId11">
        <w:r w:rsidR="2FC0DD32" w:rsidRPr="68EC3F22">
          <w:rPr>
            <w:rStyle w:val="Hyperlink"/>
          </w:rPr>
          <w:t>Assistive Technology Assessment Process.docx</w:t>
        </w:r>
      </w:hyperlink>
    </w:p>
    <w:p w14:paraId="7AA9EB83" w14:textId="50558144" w:rsidR="39821FB4" w:rsidRDefault="00E73EEF" w:rsidP="68EC3F22">
      <w:pPr>
        <w:pStyle w:val="ListParagraph"/>
        <w:numPr>
          <w:ilvl w:val="0"/>
          <w:numId w:val="1"/>
        </w:numPr>
      </w:pPr>
      <w:hyperlink r:id="rId12">
        <w:r w:rsidR="39821FB4" w:rsidRPr="68EC3F22">
          <w:rPr>
            <w:rStyle w:val="Hyperlink"/>
          </w:rPr>
          <w:t>Assistive Technology Training Process.docx</w:t>
        </w:r>
      </w:hyperlink>
    </w:p>
    <w:p w14:paraId="38EC1B2E" w14:textId="6A0B5C83" w:rsidR="39821FB4" w:rsidRDefault="00E73EEF" w:rsidP="68EC3F22">
      <w:pPr>
        <w:pStyle w:val="ListParagraph"/>
        <w:numPr>
          <w:ilvl w:val="0"/>
          <w:numId w:val="1"/>
        </w:numPr>
      </w:pPr>
      <w:hyperlink r:id="rId13">
        <w:r w:rsidR="39821FB4" w:rsidRPr="68EC3F22">
          <w:rPr>
            <w:rStyle w:val="Hyperlink"/>
          </w:rPr>
          <w:t>Common Software Assignment Procedure.docx</w:t>
        </w:r>
      </w:hyperlink>
    </w:p>
    <w:p w14:paraId="71B6D5FD" w14:textId="34664362" w:rsidR="39821FB4" w:rsidRDefault="00E73EEF" w:rsidP="68EC3F22">
      <w:pPr>
        <w:pStyle w:val="ListParagraph"/>
        <w:numPr>
          <w:ilvl w:val="0"/>
          <w:numId w:val="1"/>
        </w:numPr>
      </w:pPr>
      <w:hyperlink r:id="rId14">
        <w:r w:rsidR="39821FB4" w:rsidRPr="68EC3F22">
          <w:rPr>
            <w:rStyle w:val="Hyperlink"/>
          </w:rPr>
          <w:t>Distributing Student Laptops Process.docx</w:t>
        </w:r>
      </w:hyperlink>
    </w:p>
    <w:p w14:paraId="55C58D50" w14:textId="55140432" w:rsidR="39821FB4" w:rsidRDefault="00E73EEF" w:rsidP="68EC3F22">
      <w:pPr>
        <w:pStyle w:val="ListParagraph"/>
        <w:numPr>
          <w:ilvl w:val="0"/>
          <w:numId w:val="1"/>
        </w:numPr>
      </w:pPr>
      <w:hyperlink r:id="rId15">
        <w:r w:rsidR="39821FB4" w:rsidRPr="68EC3F22">
          <w:rPr>
            <w:rStyle w:val="Hyperlink"/>
          </w:rPr>
          <w:t>End of Semester and Repeat Exam Management Process.docx</w:t>
        </w:r>
      </w:hyperlink>
    </w:p>
    <w:p w14:paraId="0A5B9BD1" w14:textId="41CC8C0B" w:rsidR="39821FB4" w:rsidRDefault="00E73EEF" w:rsidP="68EC3F22">
      <w:pPr>
        <w:pStyle w:val="ListParagraph"/>
        <w:numPr>
          <w:ilvl w:val="0"/>
          <w:numId w:val="1"/>
        </w:numPr>
      </w:pPr>
      <w:hyperlink r:id="rId16">
        <w:proofErr w:type="spellStart"/>
        <w:r w:rsidR="39821FB4" w:rsidRPr="68EC3F22">
          <w:rPr>
            <w:rStyle w:val="Hyperlink"/>
          </w:rPr>
          <w:t>Grammarly</w:t>
        </w:r>
        <w:proofErr w:type="spellEnd"/>
        <w:r w:rsidR="39821FB4" w:rsidRPr="68EC3F22">
          <w:rPr>
            <w:rStyle w:val="Hyperlink"/>
          </w:rPr>
          <w:t xml:space="preserve"> Allocation Process.docx</w:t>
        </w:r>
      </w:hyperlink>
    </w:p>
    <w:p w14:paraId="009137E5" w14:textId="20BBCDC4" w:rsidR="39821FB4" w:rsidRDefault="00E73EEF" w:rsidP="68EC3F22">
      <w:pPr>
        <w:pStyle w:val="ListParagraph"/>
        <w:numPr>
          <w:ilvl w:val="0"/>
          <w:numId w:val="1"/>
        </w:numPr>
      </w:pPr>
      <w:hyperlink r:id="rId17">
        <w:r w:rsidR="39821FB4" w:rsidRPr="68EC3F22">
          <w:rPr>
            <w:rStyle w:val="Hyperlink"/>
          </w:rPr>
          <w:t>Inclusive Projects Process.docx</w:t>
        </w:r>
      </w:hyperlink>
    </w:p>
    <w:p w14:paraId="4A6518B0" w14:textId="1FD8A0B5" w:rsidR="39821FB4" w:rsidRDefault="00E73EEF" w:rsidP="68EC3F22">
      <w:pPr>
        <w:pStyle w:val="ListParagraph"/>
        <w:numPr>
          <w:ilvl w:val="0"/>
          <w:numId w:val="1"/>
        </w:numPr>
      </w:pPr>
      <w:hyperlink r:id="rId18">
        <w:r w:rsidR="39821FB4" w:rsidRPr="68EC3F22">
          <w:rPr>
            <w:rStyle w:val="Hyperlink"/>
          </w:rPr>
          <w:t>Outreach Process.docx</w:t>
        </w:r>
      </w:hyperlink>
    </w:p>
    <w:p w14:paraId="25381E84" w14:textId="2D8CB992" w:rsidR="39821FB4" w:rsidRDefault="00E73EEF" w:rsidP="68EC3F22">
      <w:pPr>
        <w:pStyle w:val="ListParagraph"/>
        <w:numPr>
          <w:ilvl w:val="0"/>
          <w:numId w:val="1"/>
        </w:numPr>
      </w:pPr>
      <w:hyperlink r:id="rId19">
        <w:r w:rsidR="39821FB4" w:rsidRPr="68EC3F22">
          <w:rPr>
            <w:rStyle w:val="Hyperlink"/>
          </w:rPr>
          <w:t>Procurement &amp; Allocation Process.docx</w:t>
        </w:r>
      </w:hyperlink>
    </w:p>
    <w:p w14:paraId="1B5CC90A" w14:textId="72B411F2" w:rsidR="39821FB4" w:rsidRDefault="00E73EEF" w:rsidP="68EC3F22">
      <w:pPr>
        <w:pStyle w:val="ListParagraph"/>
        <w:numPr>
          <w:ilvl w:val="0"/>
          <w:numId w:val="1"/>
        </w:numPr>
      </w:pPr>
      <w:hyperlink r:id="rId20">
        <w:r w:rsidR="39821FB4" w:rsidRPr="68EC3F22">
          <w:rPr>
            <w:rStyle w:val="Hyperlink"/>
          </w:rPr>
          <w:t>RAR Return Process.docx</w:t>
        </w:r>
      </w:hyperlink>
    </w:p>
    <w:p w14:paraId="0F7C8E0F" w14:textId="3B9A7104" w:rsidR="39821FB4" w:rsidRDefault="00E73EEF" w:rsidP="68EC3F22">
      <w:pPr>
        <w:pStyle w:val="ListParagraph"/>
        <w:numPr>
          <w:ilvl w:val="0"/>
          <w:numId w:val="1"/>
        </w:numPr>
      </w:pPr>
      <w:hyperlink r:id="rId21">
        <w:r w:rsidR="39821FB4" w:rsidRPr="68EC3F22">
          <w:rPr>
            <w:rStyle w:val="Hyperlink"/>
          </w:rPr>
          <w:t>Technology Loan Service Process.docx</w:t>
        </w:r>
      </w:hyperlink>
    </w:p>
    <w:p w14:paraId="396E8320" w14:textId="586CF6B2" w:rsidR="39821FB4" w:rsidRDefault="00E73EEF" w:rsidP="68EC3F22">
      <w:pPr>
        <w:pStyle w:val="ListParagraph"/>
        <w:numPr>
          <w:ilvl w:val="0"/>
          <w:numId w:val="1"/>
        </w:numPr>
      </w:pPr>
      <w:hyperlink r:id="rId22">
        <w:r w:rsidR="39821FB4" w:rsidRPr="68EC3F22">
          <w:rPr>
            <w:rStyle w:val="Hyperlink"/>
          </w:rPr>
          <w:t>Updating the AAM Process.docx</w:t>
        </w:r>
      </w:hyperlink>
    </w:p>
    <w:p w14:paraId="160F6E39" w14:textId="4A30AF59" w:rsidR="68EC3F22" w:rsidRDefault="68EC3F22" w:rsidP="68EC3F22"/>
    <w:p w14:paraId="4A62E34B" w14:textId="076808C9" w:rsidR="008A66AC" w:rsidRDefault="00F854DD" w:rsidP="5DDABD0E">
      <w:pPr>
        <w:pStyle w:val="Heading1"/>
        <w:spacing w:before="0" w:line="240" w:lineRule="auto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RECORDS</w:t>
      </w:r>
    </w:p>
    <w:p w14:paraId="6B0586A7" w14:textId="295F53BB" w:rsidR="008A66AC" w:rsidRDefault="008A66AC" w:rsidP="5DDABD0E">
      <w:pPr>
        <w:rPr>
          <w:color w:val="005335"/>
          <w:sz w:val="24"/>
          <w:szCs w:val="24"/>
        </w:rPr>
      </w:pPr>
      <w:proofErr w:type="gramStart"/>
      <w:r>
        <w:t xml:space="preserve">Records are held by </w:t>
      </w:r>
      <w:r w:rsidR="66ACBCCA">
        <w:t>the Educational Assistive Technology Centre</w:t>
      </w:r>
      <w:proofErr w:type="gramEnd"/>
      <w:r>
        <w:t xml:space="preserve"> for the period defined by individual processes. All members of staff operate in accordance with the </w:t>
      </w:r>
      <w:hyperlink r:id="rId23">
        <w:r w:rsidRPr="5DDABD0E">
          <w:rPr>
            <w:rStyle w:val="Hyperlink"/>
          </w:rPr>
          <w:t xml:space="preserve">University’s Records Management and </w:t>
        </w:r>
        <w:r w:rsidRPr="5DDABD0E">
          <w:rPr>
            <w:rStyle w:val="Hyperlink"/>
          </w:rPr>
          <w:lastRenderedPageBreak/>
          <w:t>Retention Policy</w:t>
        </w:r>
      </w:hyperlink>
      <w:r>
        <w:t xml:space="preserve">. Any personal data that </w:t>
      </w:r>
      <w:proofErr w:type="gramStart"/>
      <w:r>
        <w:t>is used</w:t>
      </w:r>
      <w:proofErr w:type="gramEnd"/>
      <w:r>
        <w:t xml:space="preserve"> as part of this process is processed in accordance with the General Data Protection Regulation (GDPR) / Data Protection Acts 1988-2018 and </w:t>
      </w:r>
      <w:hyperlink r:id="rId24">
        <w:r w:rsidRPr="5DDABD0E">
          <w:rPr>
            <w:rStyle w:val="Hyperlink"/>
          </w:rPr>
          <w:t>the University of Limerick Data Protection Policy</w:t>
        </w:r>
      </w:hyperlink>
      <w:r>
        <w:t xml:space="preserve">. </w:t>
      </w:r>
    </w:p>
    <w:p w14:paraId="0CB6A678" w14:textId="77777777" w:rsidR="00F854DD" w:rsidRDefault="00F854DD" w:rsidP="0039292F">
      <w:pPr>
        <w:spacing w:after="0"/>
      </w:pPr>
    </w:p>
    <w:p w14:paraId="0CB6A679" w14:textId="77777777" w:rsidR="00F854DD" w:rsidRPr="00020C75" w:rsidRDefault="00F854DD" w:rsidP="00F036D0">
      <w:pPr>
        <w:pStyle w:val="Heading1"/>
        <w:spacing w:before="0"/>
        <w:rPr>
          <w:color w:val="005335"/>
          <w:sz w:val="24"/>
          <w:szCs w:val="24"/>
        </w:rPr>
      </w:pPr>
      <w:r w:rsidRPr="5DDABD0E">
        <w:rPr>
          <w:color w:val="005335"/>
          <w:sz w:val="24"/>
          <w:szCs w:val="24"/>
        </w:rPr>
        <w:t>PROCESS VERIFICATION</w:t>
      </w:r>
    </w:p>
    <w:p w14:paraId="3CE4D946" w14:textId="656D48CE" w:rsidR="27AED92A" w:rsidRDefault="27AED92A" w:rsidP="5DDABD0E">
      <w:r>
        <w:t xml:space="preserve">Evaluation of this Process </w:t>
      </w:r>
      <w:proofErr w:type="gramStart"/>
      <w:r>
        <w:t>is carried</w:t>
      </w:r>
      <w:proofErr w:type="gramEnd"/>
      <w:r>
        <w:t xml:space="preserve"> out using internal audits. Changes to the process </w:t>
      </w:r>
      <w:proofErr w:type="gramStart"/>
      <w:r>
        <w:t>are put</w:t>
      </w:r>
      <w:proofErr w:type="gramEnd"/>
      <w:r>
        <w:t xml:space="preserve"> in place as require</w:t>
      </w:r>
      <w:r w:rsidR="6405210A">
        <w:t>d</w:t>
      </w:r>
      <w:r>
        <w:t xml:space="preserve">.   </w:t>
      </w:r>
    </w:p>
    <w:p w14:paraId="0CB6A67C" w14:textId="77777777" w:rsidR="00F854DD" w:rsidRDefault="00F854DD" w:rsidP="0039292F">
      <w:pPr>
        <w:spacing w:after="0"/>
      </w:pPr>
    </w:p>
    <w:p w14:paraId="0CB6A67D" w14:textId="77777777" w:rsidR="00BD7AE0" w:rsidRPr="00020C75" w:rsidRDefault="00BD7AE0" w:rsidP="00BD7AE0">
      <w:pPr>
        <w:pStyle w:val="Heading1"/>
        <w:spacing w:before="0"/>
        <w:rPr>
          <w:color w:val="005335"/>
          <w:sz w:val="24"/>
          <w:szCs w:val="24"/>
        </w:rPr>
      </w:pPr>
      <w:r w:rsidRPr="00020C75">
        <w:rPr>
          <w:color w:val="005335"/>
          <w:sz w:val="24"/>
          <w:szCs w:val="24"/>
        </w:rPr>
        <w:t>REVISION HISTORY</w:t>
      </w:r>
    </w:p>
    <w:p w14:paraId="0CB6A67E" w14:textId="77777777" w:rsidR="00BD7AE0" w:rsidRPr="00BD7AE0" w:rsidRDefault="00BD7AE0" w:rsidP="00BD7AE0">
      <w:pPr>
        <w:spacing w:after="0" w:line="24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34"/>
        <w:gridCol w:w="1560"/>
        <w:gridCol w:w="2693"/>
        <w:gridCol w:w="2126"/>
      </w:tblGrid>
      <w:tr w:rsidR="00711EAF" w:rsidRPr="00141577" w14:paraId="0CB6A684" w14:textId="77777777" w:rsidTr="5DDABD0E">
        <w:tc>
          <w:tcPr>
            <w:tcW w:w="1242" w:type="dxa"/>
          </w:tcPr>
          <w:p w14:paraId="0CB6A67F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Revision No.</w:t>
            </w:r>
          </w:p>
        </w:tc>
        <w:tc>
          <w:tcPr>
            <w:tcW w:w="1134" w:type="dxa"/>
          </w:tcPr>
          <w:p w14:paraId="0CB6A680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1560" w:type="dxa"/>
          </w:tcPr>
          <w:p w14:paraId="0CB6A681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Approved by:</w:t>
            </w:r>
          </w:p>
        </w:tc>
        <w:tc>
          <w:tcPr>
            <w:tcW w:w="2693" w:type="dxa"/>
          </w:tcPr>
          <w:p w14:paraId="0CB6A682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41577">
              <w:rPr>
                <w:rFonts w:ascii="Calibri" w:hAnsi="Calibri"/>
                <w:b/>
                <w:bCs/>
                <w:sz w:val="18"/>
                <w:szCs w:val="18"/>
              </w:rPr>
              <w:t>Details of Change</w:t>
            </w:r>
          </w:p>
        </w:tc>
        <w:tc>
          <w:tcPr>
            <w:tcW w:w="2126" w:type="dxa"/>
          </w:tcPr>
          <w:p w14:paraId="0CB6A683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Process Owner</w:t>
            </w:r>
          </w:p>
        </w:tc>
      </w:tr>
      <w:tr w:rsidR="00711EAF" w:rsidRPr="00141577" w14:paraId="0CB6A68A" w14:textId="77777777" w:rsidTr="5DDABD0E">
        <w:tc>
          <w:tcPr>
            <w:tcW w:w="1242" w:type="dxa"/>
          </w:tcPr>
          <w:p w14:paraId="0CB6A685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141577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CB6A686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B6A687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B6A688" w14:textId="77777777" w:rsidR="00711EAF" w:rsidRPr="00BD7AE0" w:rsidRDefault="00711EAF" w:rsidP="00E309B9">
            <w:p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BD7AE0">
              <w:rPr>
                <w:rFonts w:ascii="Calibri" w:hAnsi="Calibri"/>
                <w:i/>
                <w:sz w:val="18"/>
                <w:szCs w:val="18"/>
              </w:rPr>
              <w:t>Initial Release</w:t>
            </w:r>
          </w:p>
        </w:tc>
        <w:tc>
          <w:tcPr>
            <w:tcW w:w="2126" w:type="dxa"/>
          </w:tcPr>
          <w:p w14:paraId="0CB6A689" w14:textId="77777777" w:rsidR="00711EAF" w:rsidRPr="00141577" w:rsidRDefault="00711EAF" w:rsidP="00E309B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11EAF" w:rsidRPr="00141577" w14:paraId="0CB6A690" w14:textId="77777777" w:rsidTr="5DDABD0E">
        <w:tc>
          <w:tcPr>
            <w:tcW w:w="1242" w:type="dxa"/>
          </w:tcPr>
          <w:p w14:paraId="0CB6A68B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B6A68C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B6A68D" w14:textId="77777777" w:rsidR="00711EAF" w:rsidRPr="00141577" w:rsidRDefault="00711EAF" w:rsidP="00E309B9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B6A68E" w14:textId="1E928AB8" w:rsidR="00711EAF" w:rsidRPr="00BD7AE0" w:rsidRDefault="00711EAF" w:rsidP="5DDABD0E">
            <w:pPr>
              <w:spacing w:after="0" w:line="240" w:lineRule="auto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B6A68F" w14:textId="77777777" w:rsidR="00711EAF" w:rsidRPr="00141577" w:rsidRDefault="00711EAF" w:rsidP="00E309B9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B6A691" w14:textId="77777777" w:rsidR="00711EAF" w:rsidRDefault="00711EAF" w:rsidP="00711EAF">
      <w:pPr>
        <w:rPr>
          <w:rFonts w:cs="Arial"/>
        </w:rPr>
      </w:pPr>
    </w:p>
    <w:p w14:paraId="0CB6A692" w14:textId="77777777" w:rsidR="00711EAF" w:rsidRDefault="00711EAF" w:rsidP="0039292F">
      <w:pPr>
        <w:spacing w:after="0"/>
      </w:pPr>
    </w:p>
    <w:p w14:paraId="0CB6A693" w14:textId="77777777" w:rsidR="00F036D0" w:rsidRPr="00F854DD" w:rsidRDefault="00F036D0" w:rsidP="0039292F">
      <w:pPr>
        <w:spacing w:after="0"/>
      </w:pPr>
    </w:p>
    <w:sectPr w:rsidR="00F036D0" w:rsidRPr="00F854DD" w:rsidSect="00984D8E">
      <w:footerReference w:type="default" r:id="rId25"/>
      <w:pgSz w:w="11906" w:h="16838" w:code="9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9E7F9" w14:textId="77777777" w:rsidR="00E73EEF" w:rsidRDefault="00E73EEF" w:rsidP="0039292F">
      <w:pPr>
        <w:spacing w:after="0" w:line="240" w:lineRule="auto"/>
      </w:pPr>
      <w:r>
        <w:separator/>
      </w:r>
    </w:p>
  </w:endnote>
  <w:endnote w:type="continuationSeparator" w:id="0">
    <w:p w14:paraId="0A32624C" w14:textId="77777777" w:rsidR="00E73EEF" w:rsidRDefault="00E73EEF" w:rsidP="0039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A69A" w14:textId="160E0502" w:rsidR="0039292F" w:rsidRDefault="0039292F" w:rsidP="00020C75">
    <w:pPr>
      <w:pStyle w:val="Footer"/>
      <w:pBdr>
        <w:top w:val="single" w:sz="4" w:space="1" w:color="auto"/>
      </w:pBdr>
      <w:tabs>
        <w:tab w:val="clear" w:pos="9026"/>
        <w:tab w:val="right" w:pos="8505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Name of Division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E1E72" w:rsidRPr="004E1E7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 w:rsidR="004F30F0">
      <w:rPr>
        <w:rFonts w:asciiTheme="majorHAnsi" w:eastAsiaTheme="majorEastAsia" w:hAnsiTheme="majorHAnsi" w:cstheme="majorBidi"/>
        <w:noProof/>
      </w:rPr>
      <w:tab/>
    </w:r>
    <w:r w:rsidR="001C3A5C">
      <w:rPr>
        <w:rFonts w:asciiTheme="majorHAnsi" w:eastAsiaTheme="majorEastAsia" w:hAnsiTheme="majorHAnsi" w:cstheme="majorBidi"/>
        <w:noProof/>
      </w:rPr>
      <w:tab/>
    </w:r>
    <w:r w:rsidR="004F30F0">
      <w:rPr>
        <w:rFonts w:asciiTheme="majorHAnsi" w:eastAsiaTheme="majorEastAsia" w:hAnsiTheme="majorHAnsi" w:cstheme="majorBidi"/>
        <w:noProof/>
      </w:rPr>
      <w:t xml:space="preserve">Rev. </w:t>
    </w:r>
    <w:r w:rsidR="00820539">
      <w:rPr>
        <w:rFonts w:asciiTheme="majorHAnsi" w:eastAsiaTheme="majorEastAsia" w:hAnsiTheme="majorHAnsi" w:cstheme="majorBidi"/>
        <w:noProof/>
      </w:rPr>
      <w:t>1</w:t>
    </w:r>
  </w:p>
  <w:p w14:paraId="0CB6A69B" w14:textId="77777777" w:rsidR="0039292F" w:rsidRDefault="00392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22AD" w14:textId="77777777" w:rsidR="00E73EEF" w:rsidRDefault="00E73EEF" w:rsidP="0039292F">
      <w:pPr>
        <w:spacing w:after="0" w:line="240" w:lineRule="auto"/>
      </w:pPr>
      <w:r>
        <w:separator/>
      </w:r>
    </w:p>
  </w:footnote>
  <w:footnote w:type="continuationSeparator" w:id="0">
    <w:p w14:paraId="5D16E63E" w14:textId="77777777" w:rsidR="00E73EEF" w:rsidRDefault="00E73EEF" w:rsidP="0039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23D4"/>
    <w:multiLevelType w:val="hybridMultilevel"/>
    <w:tmpl w:val="8A2E760A"/>
    <w:lvl w:ilvl="0" w:tplc="F218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68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AE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E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03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CA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CF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4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345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533C4"/>
    <w:multiLevelType w:val="hybridMultilevel"/>
    <w:tmpl w:val="C75E1324"/>
    <w:lvl w:ilvl="0" w:tplc="C114C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22E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A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68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D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A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A7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CA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CC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4F7F7"/>
    <w:multiLevelType w:val="hybridMultilevel"/>
    <w:tmpl w:val="2F2AE9CE"/>
    <w:lvl w:ilvl="0" w:tplc="4A922A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7C9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82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45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65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645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29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8A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C6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2F"/>
    <w:rsid w:val="00020C75"/>
    <w:rsid w:val="00136A91"/>
    <w:rsid w:val="00164A13"/>
    <w:rsid w:val="001826B1"/>
    <w:rsid w:val="0018272E"/>
    <w:rsid w:val="001C3A5C"/>
    <w:rsid w:val="0020233D"/>
    <w:rsid w:val="00253A33"/>
    <w:rsid w:val="00270373"/>
    <w:rsid w:val="00275191"/>
    <w:rsid w:val="002A3141"/>
    <w:rsid w:val="00331500"/>
    <w:rsid w:val="0039292F"/>
    <w:rsid w:val="004D2FCB"/>
    <w:rsid w:val="004E1E72"/>
    <w:rsid w:val="004F30F0"/>
    <w:rsid w:val="00647C46"/>
    <w:rsid w:val="0065100B"/>
    <w:rsid w:val="00711EAF"/>
    <w:rsid w:val="007554E1"/>
    <w:rsid w:val="007C4BE2"/>
    <w:rsid w:val="007C7336"/>
    <w:rsid w:val="00820539"/>
    <w:rsid w:val="00830700"/>
    <w:rsid w:val="00894977"/>
    <w:rsid w:val="008A5642"/>
    <w:rsid w:val="008A66AC"/>
    <w:rsid w:val="008C0ED8"/>
    <w:rsid w:val="008E590A"/>
    <w:rsid w:val="00984D8E"/>
    <w:rsid w:val="009B0021"/>
    <w:rsid w:val="00A44D20"/>
    <w:rsid w:val="00A914D0"/>
    <w:rsid w:val="00AF6FF5"/>
    <w:rsid w:val="00B50878"/>
    <w:rsid w:val="00BD7AE0"/>
    <w:rsid w:val="00CF265C"/>
    <w:rsid w:val="00D53477"/>
    <w:rsid w:val="00D90CD9"/>
    <w:rsid w:val="00DF43E9"/>
    <w:rsid w:val="00E309B9"/>
    <w:rsid w:val="00E73EEF"/>
    <w:rsid w:val="00E74A1C"/>
    <w:rsid w:val="00EA4528"/>
    <w:rsid w:val="00F036D0"/>
    <w:rsid w:val="00F854DD"/>
    <w:rsid w:val="021B5729"/>
    <w:rsid w:val="037DD799"/>
    <w:rsid w:val="03BCFDE2"/>
    <w:rsid w:val="04CBF7EF"/>
    <w:rsid w:val="060BE621"/>
    <w:rsid w:val="0667C850"/>
    <w:rsid w:val="0680537D"/>
    <w:rsid w:val="06BBE115"/>
    <w:rsid w:val="07F9DFC3"/>
    <w:rsid w:val="0857B176"/>
    <w:rsid w:val="08906F05"/>
    <w:rsid w:val="092EAA0C"/>
    <w:rsid w:val="0965BF98"/>
    <w:rsid w:val="098F2151"/>
    <w:rsid w:val="09F381D7"/>
    <w:rsid w:val="0A31AF98"/>
    <w:rsid w:val="0B202567"/>
    <w:rsid w:val="0B47539C"/>
    <w:rsid w:val="0C073DC1"/>
    <w:rsid w:val="0DAF0298"/>
    <w:rsid w:val="0E0D77E4"/>
    <w:rsid w:val="0E1E707F"/>
    <w:rsid w:val="0FBEAAA1"/>
    <w:rsid w:val="10345305"/>
    <w:rsid w:val="1082588D"/>
    <w:rsid w:val="1087C8BF"/>
    <w:rsid w:val="121E28EE"/>
    <w:rsid w:val="13BF6981"/>
    <w:rsid w:val="1610CF14"/>
    <w:rsid w:val="175E415D"/>
    <w:rsid w:val="17AC9F75"/>
    <w:rsid w:val="17B45A2A"/>
    <w:rsid w:val="17D9E520"/>
    <w:rsid w:val="1909BF36"/>
    <w:rsid w:val="1AE44037"/>
    <w:rsid w:val="1D614FEC"/>
    <w:rsid w:val="1DAE683A"/>
    <w:rsid w:val="1E123223"/>
    <w:rsid w:val="1F0C3ADB"/>
    <w:rsid w:val="2050F5B2"/>
    <w:rsid w:val="20B32F02"/>
    <w:rsid w:val="21196217"/>
    <w:rsid w:val="2149D2E5"/>
    <w:rsid w:val="21ADFCB8"/>
    <w:rsid w:val="21B9AE55"/>
    <w:rsid w:val="23D1A767"/>
    <w:rsid w:val="245102D9"/>
    <w:rsid w:val="248B227D"/>
    <w:rsid w:val="27151B93"/>
    <w:rsid w:val="27ACD6EC"/>
    <w:rsid w:val="27AED92A"/>
    <w:rsid w:val="27DC8219"/>
    <w:rsid w:val="2895DC25"/>
    <w:rsid w:val="292473FC"/>
    <w:rsid w:val="2A474C23"/>
    <w:rsid w:val="2AB4DAB2"/>
    <w:rsid w:val="2C2CCA4C"/>
    <w:rsid w:val="2C81BAA8"/>
    <w:rsid w:val="2CB97459"/>
    <w:rsid w:val="2D33F86C"/>
    <w:rsid w:val="2E03946D"/>
    <w:rsid w:val="2E5544BA"/>
    <w:rsid w:val="2F6E3C35"/>
    <w:rsid w:val="2FC0DD32"/>
    <w:rsid w:val="2FEF2B92"/>
    <w:rsid w:val="3040AE6D"/>
    <w:rsid w:val="30CD27C7"/>
    <w:rsid w:val="349F84F7"/>
    <w:rsid w:val="35122292"/>
    <w:rsid w:val="358AD7D6"/>
    <w:rsid w:val="35F0EB69"/>
    <w:rsid w:val="361E4118"/>
    <w:rsid w:val="36BEA146"/>
    <w:rsid w:val="371B15F6"/>
    <w:rsid w:val="3730D99B"/>
    <w:rsid w:val="38EB3BE8"/>
    <w:rsid w:val="39631C09"/>
    <w:rsid w:val="39821FB4"/>
    <w:rsid w:val="3B4ACFA8"/>
    <w:rsid w:val="3BB102BD"/>
    <w:rsid w:val="3C6BF2E4"/>
    <w:rsid w:val="3C89AFAD"/>
    <w:rsid w:val="3C93E6B3"/>
    <w:rsid w:val="3CAD16E2"/>
    <w:rsid w:val="3D24A67C"/>
    <w:rsid w:val="3E69D4ED"/>
    <w:rsid w:val="3EF452CD"/>
    <w:rsid w:val="4279BFE3"/>
    <w:rsid w:val="4422D4CF"/>
    <w:rsid w:val="44445B8C"/>
    <w:rsid w:val="45888485"/>
    <w:rsid w:val="46209AB1"/>
    <w:rsid w:val="4735C28E"/>
    <w:rsid w:val="478FA71B"/>
    <w:rsid w:val="47B84AB9"/>
    <w:rsid w:val="47BA1186"/>
    <w:rsid w:val="48ECE560"/>
    <w:rsid w:val="4A05DCDB"/>
    <w:rsid w:val="4A88B5C1"/>
    <w:rsid w:val="4AE70068"/>
    <w:rsid w:val="4CD2A48B"/>
    <w:rsid w:val="4D3D7D9D"/>
    <w:rsid w:val="4DE79758"/>
    <w:rsid w:val="4DEF0596"/>
    <w:rsid w:val="52157E7E"/>
    <w:rsid w:val="52DEA1CF"/>
    <w:rsid w:val="554D1F40"/>
    <w:rsid w:val="560A9DB1"/>
    <w:rsid w:val="56CB3786"/>
    <w:rsid w:val="572EC59B"/>
    <w:rsid w:val="57E473C4"/>
    <w:rsid w:val="589BE455"/>
    <w:rsid w:val="58EA6950"/>
    <w:rsid w:val="59804425"/>
    <w:rsid w:val="5CD532DC"/>
    <w:rsid w:val="5D9091D7"/>
    <w:rsid w:val="5DDABD0E"/>
    <w:rsid w:val="5E684BC8"/>
    <w:rsid w:val="61BBF58C"/>
    <w:rsid w:val="61F5F936"/>
    <w:rsid w:val="6229E0CA"/>
    <w:rsid w:val="6405210A"/>
    <w:rsid w:val="657EA10E"/>
    <w:rsid w:val="6696D070"/>
    <w:rsid w:val="66ACBCCA"/>
    <w:rsid w:val="68320E9F"/>
    <w:rsid w:val="68EC3F22"/>
    <w:rsid w:val="69CDDF00"/>
    <w:rsid w:val="6B4C0CFE"/>
    <w:rsid w:val="6B8FC095"/>
    <w:rsid w:val="6DEBA1F3"/>
    <w:rsid w:val="6E4572A3"/>
    <w:rsid w:val="6EE6058C"/>
    <w:rsid w:val="6F4A7388"/>
    <w:rsid w:val="6F97B111"/>
    <w:rsid w:val="702E8E40"/>
    <w:rsid w:val="71E386FE"/>
    <w:rsid w:val="724A3902"/>
    <w:rsid w:val="74282383"/>
    <w:rsid w:val="755CD85A"/>
    <w:rsid w:val="755EEFBF"/>
    <w:rsid w:val="759CB25E"/>
    <w:rsid w:val="76B82B18"/>
    <w:rsid w:val="775FC445"/>
    <w:rsid w:val="77EE8313"/>
    <w:rsid w:val="7897BE0B"/>
    <w:rsid w:val="78FB94A6"/>
    <w:rsid w:val="7BEF822F"/>
    <w:rsid w:val="7E6700D5"/>
    <w:rsid w:val="7E75DEC7"/>
    <w:rsid w:val="7EB3F6FF"/>
    <w:rsid w:val="7EC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A662"/>
  <w15:docId w15:val="{E72A42A0-DF02-46C5-B45E-D9E14872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3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2F"/>
  </w:style>
  <w:style w:type="paragraph" w:styleId="Footer">
    <w:name w:val="footer"/>
    <w:basedOn w:val="Normal"/>
    <w:link w:val="FooterChar"/>
    <w:uiPriority w:val="99"/>
    <w:unhideWhenUsed/>
    <w:rsid w:val="00392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2F"/>
  </w:style>
  <w:style w:type="paragraph" w:styleId="BalloonText">
    <w:name w:val="Balloon Text"/>
    <w:basedOn w:val="Normal"/>
    <w:link w:val="BalloonTextChar"/>
    <w:uiPriority w:val="99"/>
    <w:semiHidden/>
    <w:unhideWhenUsed/>
    <w:rsid w:val="0039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3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590A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5DDABD0E"/>
  </w:style>
  <w:style w:type="character" w:customStyle="1" w:styleId="eop">
    <w:name w:val="eop"/>
    <w:basedOn w:val="DefaultParagraphFont"/>
    <w:uiPriority w:val="1"/>
    <w:rsid w:val="5DDABD0E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lcampus.sharepoint.com/:w:/r/sites/StudentAffairs/Student%20Affairs%20Quality%20Management%20System/QMS%20framework%20docs/Key%20business%20processes/EATC/Common%20Software%20Assignment%20Procedure.docx?d=w3ab04f66769046f2b0c4051195859048&amp;csf=1&amp;web=1&amp;e=Mchl0A" TargetMode="External"/><Relationship Id="rId18" Type="http://schemas.openxmlformats.org/officeDocument/2006/relationships/hyperlink" Target="https://ulcampus.sharepoint.com/:w:/r/sites/StudentAffairs/Student%20Affairs%20Quality%20Management%20System/QMS%20framework%20docs/Key%20business%20processes/EATC/Outreach%20Process.docx?d=w1c706e7cc9554596ba7088ce11eee8bc&amp;csf=1&amp;web=1&amp;e=rwnzA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lcampus.sharepoint.com/:w:/r/sites/StudentAffairs/Student%20Affairs%20Quality%20Management%20System/QMS%20framework%20docs/Key%20business%20processes/EATC/Technology%20Loan%20Service%20Process.docx?d=we61a91df1d0a40cf9fea3bc287923632&amp;csf=1&amp;web=1&amp;e=YL58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ulcampus.sharepoint.com/:w:/r/sites/StudentAffairs/Student%20Affairs%20Quality%20Management%20System/QMS%20framework%20docs/Key%20business%20processes/EATC/Assistive%20Technology%20Training%20Process.docx?d=w2cdf6160ee924f60a6bfa85ca0f56af3&amp;csf=1&amp;web=1&amp;e=azEOBa" TargetMode="External"/><Relationship Id="rId17" Type="http://schemas.openxmlformats.org/officeDocument/2006/relationships/hyperlink" Target="https://ulcampus.sharepoint.com/:w:/r/sites/StudentAffairs/Student%20Affairs%20Quality%20Management%20System/QMS%20framework%20docs/Key%20business%20processes/EATC/Inclusive%20Projects%20Process.docx?d=w2d83bf30d1484051a406e3d417115756&amp;csf=1&amp;web=1&amp;e=Xxq8D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lcampus.sharepoint.com/:w:/r/sites/StudentAffairs/Student%20Affairs%20Quality%20Management%20System/QMS%20framework%20docs/Key%20business%20processes/EATC/Grammarly%20Allocation%20Process.docx?d=we0a18133fda04987bc3ffdc4dd245715&amp;csf=1&amp;web=1&amp;e=Zq8qsp" TargetMode="External"/><Relationship Id="rId20" Type="http://schemas.openxmlformats.org/officeDocument/2006/relationships/hyperlink" Target="https://ulcampus.sharepoint.com/:w:/r/sites/StudentAffairs/Student%20Affairs%20Quality%20Management%20System/QMS%20framework%20docs/Key%20business%20processes/EATC/RAR%20Return%20Process.docx?d=w4ebbab1180294f7a9c5bab343a65688b&amp;csf=1&amp;web=1&amp;e=61xIU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lcampus.sharepoint.com/:w:/r/sites/StudentAffairs/Student%20Affairs%20Quality%20Management%20System/QMS%20framework%20docs/Key%20business%20processes/EATC/Assistive%20Technology%20Assessment%20Process.docx?d=w00e1d115b22045dfa28af4f6dc8477c4&amp;csf=1&amp;web=1&amp;e=OxRT3y" TargetMode="External"/><Relationship Id="rId24" Type="http://schemas.openxmlformats.org/officeDocument/2006/relationships/hyperlink" Target="https://www.ul.ie/policy-hub/sites/policyhub/files/user_media/documents/policies/Data%20Protection%20Policy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lcampus.sharepoint.com/:w:/r/sites/StudentAffairs/Student%20Affairs%20Quality%20Management%20System/QMS%20framework%20docs/Key%20business%20processes/EATC/End%20of%20Semester%20and%20Repeat%20Exam%20Management%20Process.docx?d=w714c221178a641a9b6ed89203a3bd293&amp;csf=1&amp;web=1&amp;e=CLaIIq" TargetMode="External"/><Relationship Id="rId23" Type="http://schemas.openxmlformats.org/officeDocument/2006/relationships/hyperlink" Target="https://www.ul.ie/policy-hub/sites/policyhub/files/user_media/documents/RecordsManagement%26RetentionPolicy_0.pdf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ulcampus.sharepoint.com/:w:/r/sites/StudentAffairs/Student%20Affairs%20Quality%20Management%20System/QMS%20framework%20docs/Key%20business%20processes/EATC/Procurement%20%26%20Allocation%20Process.docx?d=w13051a1a2ec44b0295b05a4160af537e&amp;csf=1&amp;web=1&amp;e=22iCQ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lcampus.sharepoint.com/:w:/r/sites/StudentAffairs/Student%20Affairs%20Quality%20Management%20System/QMS%20framework%20docs/Key%20business%20processes/EATC/Distributing%20Student%20Laptops%20Process.docx?d=w26cf817e28be4f178ed2e27eca4597d9&amp;csf=1&amp;web=1&amp;e=Jri4RU" TargetMode="External"/><Relationship Id="rId22" Type="http://schemas.openxmlformats.org/officeDocument/2006/relationships/hyperlink" Target="https://ulcampus.sharepoint.com/:w:/r/sites/StudentAffairs/Student%20Affairs%20Quality%20Management%20System/QMS%20framework%20docs/Key%20business%20processes/EATC/Updating%20the%20AAM%20Process.docx?d=wc5d3e35ec2cf475299a1b1f13e29015c&amp;csf=1&amp;web=1&amp;e=SyQcq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240e6-4854-462f-b967-ef5b3438e6a4" xsi:nil="true"/>
    <lcf76f155ced4ddcb4097134ff3c332f xmlns="56c34958-7e6f-4880-b112-7b2977e19f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21F1D577DF04AA991DD1AC76CBAF6" ma:contentTypeVersion="17" ma:contentTypeDescription="Create a new document." ma:contentTypeScope="" ma:versionID="e65afcd5cf5d43f0d683fca5fd3cf363">
  <xsd:schema xmlns:xsd="http://www.w3.org/2001/XMLSchema" xmlns:xs="http://www.w3.org/2001/XMLSchema" xmlns:p="http://schemas.microsoft.com/office/2006/metadata/properties" xmlns:ns2="56c34958-7e6f-4880-b112-7b2977e19f44" xmlns:ns3="c43240e6-4854-462f-b967-ef5b3438e6a4" targetNamespace="http://schemas.microsoft.com/office/2006/metadata/properties" ma:root="true" ma:fieldsID="6edf6f7dc4e77564cf44f2ad0e3e24bc" ns2:_="" ns3:_="">
    <xsd:import namespace="56c34958-7e6f-4880-b112-7b2977e19f44"/>
    <xsd:import namespace="c43240e6-4854-462f-b967-ef5b3438e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34958-7e6f-4880-b112-7b2977e19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0e6-4854-462f-b967-ef5b3438e6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b614cd-513e-4f13-94f5-d3bf393c1b36}" ma:internalName="TaxCatchAll" ma:showField="CatchAllData" ma:web="c43240e6-4854-462f-b967-ef5b3438e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BD3A4-B294-4445-8934-993E8C6BF7A9}">
  <ds:schemaRefs>
    <ds:schemaRef ds:uri="http://schemas.microsoft.com/office/2006/metadata/properties"/>
    <ds:schemaRef ds:uri="http://schemas.microsoft.com/office/infopath/2007/PartnerControls"/>
    <ds:schemaRef ds:uri="c43240e6-4854-462f-b967-ef5b3438e6a4"/>
    <ds:schemaRef ds:uri="56c34958-7e6f-4880-b112-7b2977e19f44"/>
  </ds:schemaRefs>
</ds:datastoreItem>
</file>

<file path=customXml/itemProps2.xml><?xml version="1.0" encoding="utf-8"?>
<ds:datastoreItem xmlns:ds="http://schemas.openxmlformats.org/officeDocument/2006/customXml" ds:itemID="{3085D3E6-9F3A-428D-B3D3-33450329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34958-7e6f-4880-b112-7b2977e19f44"/>
    <ds:schemaRef ds:uri="c43240e6-4854-462f-b967-ef5b3438e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62BB1-BC16-4A2B-8EAF-A5ACD3633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University of Limerick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Kim O'Mahony</dc:creator>
  <cp:lastModifiedBy>Sean.Costello</cp:lastModifiedBy>
  <cp:revision>2</cp:revision>
  <dcterms:created xsi:type="dcterms:W3CDTF">2023-11-10T09:24:00Z</dcterms:created>
  <dcterms:modified xsi:type="dcterms:W3CDTF">2023-11-10T09:24:00Z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0x01010089D21F1D577DF04AA991DD1AC76CBAF6</vt:lpwstr>
  </property>
  <property fmtid="{D5CDD505-2E9C-101B-9397-08002B2CF9AE}" pid="3" name="Order">
    <vt:r8>1100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ColorHex">
    <vt:lpwstr/>
  </property>
  <property fmtid="{D5CDD505-2E9C-101B-9397-08002B2CF9AE}" pid="14" name="_Emoji">
    <vt:lpwstr/>
  </property>
  <property fmtid="{D5CDD505-2E9C-101B-9397-08002B2CF9AE}" pid="15" name="_ColorTag">
    <vt:lpwstr/>
  </property>
</Properties>
</file>