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6A662" w14:textId="543EF565" w:rsidR="00984D8E" w:rsidRDefault="00905F27" w:rsidP="00984D8E">
      <w:pPr>
        <w:pStyle w:val="Header"/>
        <w:jc w:val="center"/>
      </w:pPr>
      <w:bookmarkStart w:id="0" w:name="_GoBack"/>
      <w:bookmarkEnd w:id="0"/>
      <w:r>
        <w:rPr>
          <w:rFonts w:ascii="Segoe UI" w:hAnsi="Segoe UI" w:cs="Segoe UI"/>
          <w:noProof/>
          <w:lang w:eastAsia="ja-JP"/>
        </w:rPr>
        <w:drawing>
          <wp:inline distT="0" distB="0" distL="0" distR="0" wp14:anchorId="1E9CA7C5" wp14:editId="79C34BC6">
            <wp:extent cx="3295650" cy="914400"/>
            <wp:effectExtent l="0" t="0" r="0" b="0"/>
            <wp:docPr id="1" name="Picture 1" descr="Student Affairs Divi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udent Affairs Division 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6A663" w14:textId="77777777" w:rsidR="00984D8E" w:rsidRDefault="00984D8E" w:rsidP="00984D8E">
      <w:pPr>
        <w:pStyle w:val="Header"/>
      </w:pPr>
    </w:p>
    <w:p w14:paraId="0CB6A664" w14:textId="10F4B640" w:rsidR="00331500" w:rsidRDefault="00011968" w:rsidP="00984D8E">
      <w:pPr>
        <w:pStyle w:val="Heading1"/>
        <w:spacing w:before="0"/>
        <w:jc w:val="center"/>
        <w:rPr>
          <w:color w:val="005335"/>
        </w:rPr>
      </w:pPr>
      <w:r>
        <w:rPr>
          <w:color w:val="005335"/>
        </w:rPr>
        <w:t>Student Health Centre Business Process</w:t>
      </w:r>
    </w:p>
    <w:p w14:paraId="05B720F7" w14:textId="77777777" w:rsidR="00020C75" w:rsidRPr="00020C75" w:rsidRDefault="00020C75" w:rsidP="00D85F62">
      <w:pPr>
        <w:spacing w:after="0"/>
      </w:pPr>
    </w:p>
    <w:p w14:paraId="0CB6A665" w14:textId="77777777" w:rsidR="00984D8E" w:rsidRPr="00020C75" w:rsidRDefault="00984D8E" w:rsidP="00D85F62">
      <w:pPr>
        <w:pStyle w:val="Heading1"/>
        <w:spacing w:before="0"/>
        <w:rPr>
          <w:color w:val="005335"/>
          <w:sz w:val="24"/>
          <w:szCs w:val="24"/>
        </w:rPr>
      </w:pPr>
      <w:r w:rsidRPr="00020C75">
        <w:rPr>
          <w:color w:val="005335"/>
          <w:sz w:val="24"/>
          <w:szCs w:val="24"/>
        </w:rPr>
        <w:t>PURPOSE</w:t>
      </w:r>
    </w:p>
    <w:p w14:paraId="2D8BDFE5" w14:textId="77777777" w:rsidR="00011968" w:rsidRDefault="00011968" w:rsidP="00D85F62">
      <w:pPr>
        <w:spacing w:after="0"/>
      </w:pPr>
    </w:p>
    <w:p w14:paraId="6C0EA2E9" w14:textId="3A6EB1C3" w:rsidR="00011968" w:rsidRPr="00D52BFD" w:rsidRDefault="00011968" w:rsidP="00D85F62">
      <w:pPr>
        <w:spacing w:after="0"/>
      </w:pPr>
      <w:r w:rsidRPr="00D52BFD">
        <w:t>The purpose of this document is to describe the main administrative procedures associated with the provision of services and activities of the Student Health Centre (SHC).</w:t>
      </w:r>
    </w:p>
    <w:p w14:paraId="6091DBA9" w14:textId="77777777" w:rsidR="005550CF" w:rsidRDefault="005550CF" w:rsidP="00D85F62">
      <w:pPr>
        <w:pStyle w:val="Heading1"/>
        <w:spacing w:before="0"/>
        <w:rPr>
          <w:color w:val="005335"/>
          <w:sz w:val="24"/>
          <w:szCs w:val="24"/>
        </w:rPr>
      </w:pPr>
    </w:p>
    <w:p w14:paraId="0CB6A668" w14:textId="2D52E7C2" w:rsidR="00AF6FF5" w:rsidRPr="00020C75" w:rsidRDefault="00AF6FF5" w:rsidP="00D85F62">
      <w:pPr>
        <w:pStyle w:val="Heading1"/>
        <w:spacing w:before="0"/>
        <w:rPr>
          <w:color w:val="005335"/>
          <w:sz w:val="24"/>
          <w:szCs w:val="24"/>
        </w:rPr>
      </w:pPr>
      <w:r w:rsidRPr="00020C75">
        <w:rPr>
          <w:color w:val="005335"/>
          <w:sz w:val="24"/>
          <w:szCs w:val="24"/>
        </w:rPr>
        <w:t>RESPONSIBILITY</w:t>
      </w:r>
    </w:p>
    <w:p w14:paraId="0CB6A669" w14:textId="77777777" w:rsidR="00AF6FF5" w:rsidRPr="00587685" w:rsidRDefault="00AF6FF5" w:rsidP="00D85F62">
      <w:pPr>
        <w:spacing w:after="0"/>
      </w:pPr>
    </w:p>
    <w:p w14:paraId="3F3F480B" w14:textId="2A8533E1" w:rsidR="00011968" w:rsidRDefault="009C4019" w:rsidP="00D85F62">
      <w:pPr>
        <w:spacing w:after="0"/>
      </w:pPr>
      <w:r>
        <w:t>R</w:t>
      </w:r>
      <w:r w:rsidR="000E0C7B">
        <w:t>esponsibility for the</w:t>
      </w:r>
      <w:r w:rsidR="00011968" w:rsidRPr="00D52BFD">
        <w:t>s</w:t>
      </w:r>
      <w:r w:rsidR="000E0C7B">
        <w:t>e</w:t>
      </w:r>
      <w:r w:rsidR="00011968" w:rsidRPr="00D52BFD">
        <w:t xml:space="preserve"> proce</w:t>
      </w:r>
      <w:r w:rsidR="000E0C7B">
        <w:t>dures</w:t>
      </w:r>
      <w:r w:rsidR="00011968" w:rsidRPr="00D52BFD">
        <w:t xml:space="preserve"> is held by the SHC </w:t>
      </w:r>
      <w:r w:rsidR="000E0C7B">
        <w:t xml:space="preserve">Administrator, under the guidance of the Nurse Practice Manager. </w:t>
      </w:r>
    </w:p>
    <w:p w14:paraId="53241A60" w14:textId="10B98547" w:rsidR="00A0307D" w:rsidRDefault="00A0307D" w:rsidP="00D85F62">
      <w:pPr>
        <w:spacing w:after="0"/>
      </w:pPr>
    </w:p>
    <w:p w14:paraId="0CB6A66C" w14:textId="77777777" w:rsidR="00F854DD" w:rsidRPr="00020C75" w:rsidRDefault="00F854DD" w:rsidP="00D85F62">
      <w:pPr>
        <w:pStyle w:val="Heading1"/>
        <w:spacing w:before="0"/>
        <w:rPr>
          <w:color w:val="005335"/>
          <w:sz w:val="24"/>
          <w:szCs w:val="24"/>
        </w:rPr>
      </w:pPr>
      <w:r w:rsidRPr="00020C75">
        <w:rPr>
          <w:color w:val="005335"/>
          <w:sz w:val="24"/>
          <w:szCs w:val="24"/>
        </w:rPr>
        <w:t>PROCEDURE</w:t>
      </w:r>
    </w:p>
    <w:p w14:paraId="0CB6A66D" w14:textId="77777777" w:rsidR="00F854DD" w:rsidRDefault="00F854DD" w:rsidP="00D85F62">
      <w:pPr>
        <w:spacing w:after="0"/>
      </w:pPr>
    </w:p>
    <w:p w14:paraId="16C6B07F" w14:textId="77777777" w:rsidR="00A0307D" w:rsidRDefault="00011968" w:rsidP="00D85F62">
      <w:pPr>
        <w:spacing w:after="0"/>
      </w:pPr>
      <w:r w:rsidRPr="00D52BFD">
        <w:t xml:space="preserve">The services </w:t>
      </w:r>
      <w:r w:rsidR="00A0307D">
        <w:t xml:space="preserve">provided at the SHC </w:t>
      </w:r>
      <w:r w:rsidRPr="00D52BFD">
        <w:t>include</w:t>
      </w:r>
      <w:r w:rsidR="00A0307D">
        <w:t>:</w:t>
      </w:r>
    </w:p>
    <w:p w14:paraId="6EBE082A" w14:textId="77777777" w:rsidR="00A0307D" w:rsidRDefault="00A0307D" w:rsidP="00A0307D">
      <w:pPr>
        <w:pStyle w:val="ListParagraph"/>
        <w:numPr>
          <w:ilvl w:val="0"/>
          <w:numId w:val="32"/>
        </w:numPr>
        <w:spacing w:after="0"/>
      </w:pPr>
      <w:r>
        <w:t>G</w:t>
      </w:r>
      <w:r w:rsidR="00011968" w:rsidRPr="00D52BFD">
        <w:t>eneral doctor</w:t>
      </w:r>
    </w:p>
    <w:p w14:paraId="1D1AFCF2" w14:textId="77777777" w:rsidR="00A0307D" w:rsidRDefault="00A0307D" w:rsidP="00A0307D">
      <w:pPr>
        <w:pStyle w:val="ListParagraph"/>
        <w:numPr>
          <w:ilvl w:val="0"/>
          <w:numId w:val="32"/>
        </w:numPr>
        <w:spacing w:after="0"/>
      </w:pPr>
      <w:r>
        <w:t>N</w:t>
      </w:r>
      <w:r w:rsidR="00011968" w:rsidRPr="00D52BFD">
        <w:t>urse led clinics</w:t>
      </w:r>
    </w:p>
    <w:p w14:paraId="01D4D390" w14:textId="204A8ED1" w:rsidR="00A0307D" w:rsidRDefault="00A0307D" w:rsidP="00A0307D">
      <w:pPr>
        <w:pStyle w:val="ListParagraph"/>
        <w:numPr>
          <w:ilvl w:val="0"/>
          <w:numId w:val="32"/>
        </w:numPr>
        <w:spacing w:after="0"/>
      </w:pPr>
      <w:r>
        <w:t>Sexual/reproductive health</w:t>
      </w:r>
    </w:p>
    <w:p w14:paraId="460E0AAB" w14:textId="789CB8BE" w:rsidR="00A0307D" w:rsidRDefault="00A0307D" w:rsidP="00A0307D">
      <w:pPr>
        <w:pStyle w:val="ListParagraph"/>
        <w:numPr>
          <w:ilvl w:val="0"/>
          <w:numId w:val="32"/>
        </w:numPr>
        <w:spacing w:after="0"/>
      </w:pPr>
      <w:r>
        <w:t>P</w:t>
      </w:r>
      <w:r w:rsidR="00011968" w:rsidRPr="00D52BFD">
        <w:t>hysiotherapy</w:t>
      </w:r>
    </w:p>
    <w:p w14:paraId="2F68391A" w14:textId="77777777" w:rsidR="00A0307D" w:rsidRDefault="00A0307D" w:rsidP="00D85F62">
      <w:pPr>
        <w:spacing w:after="0"/>
      </w:pPr>
    </w:p>
    <w:p w14:paraId="6EDD628F" w14:textId="67F194D0" w:rsidR="00011968" w:rsidRDefault="00011968" w:rsidP="00D85F62">
      <w:pPr>
        <w:spacing w:after="0"/>
      </w:pPr>
      <w:r w:rsidRPr="00D52BFD">
        <w:t>The primary administrative procedures associated with the delivery</w:t>
      </w:r>
      <w:r>
        <w:t xml:space="preserve"> o</w:t>
      </w:r>
      <w:r w:rsidR="00A53357">
        <w:t>f the</w:t>
      </w:r>
      <w:r w:rsidR="00A0307D">
        <w:t>se services are:</w:t>
      </w:r>
    </w:p>
    <w:p w14:paraId="594621B3" w14:textId="2B841354" w:rsidR="004675BB" w:rsidRDefault="004675BB" w:rsidP="00D85F62">
      <w:pPr>
        <w:spacing w:after="0"/>
      </w:pPr>
    </w:p>
    <w:p w14:paraId="7B470B39" w14:textId="504C6F52" w:rsidR="004675BB" w:rsidRPr="00A0307D" w:rsidRDefault="00FC064E" w:rsidP="009C4019">
      <w:pPr>
        <w:pStyle w:val="ListParagraph"/>
        <w:numPr>
          <w:ilvl w:val="0"/>
          <w:numId w:val="31"/>
        </w:numPr>
        <w:spacing w:after="0"/>
      </w:pPr>
      <w:r>
        <w:t>Management of the booking system/making appointments</w:t>
      </w:r>
    </w:p>
    <w:p w14:paraId="4BC0A29B" w14:textId="77777777" w:rsidR="009C4019" w:rsidRPr="00A0307D" w:rsidRDefault="009C4019" w:rsidP="009C4019">
      <w:pPr>
        <w:pStyle w:val="ListParagraph"/>
        <w:numPr>
          <w:ilvl w:val="0"/>
          <w:numId w:val="31"/>
        </w:numPr>
        <w:spacing w:after="0"/>
      </w:pPr>
      <w:r w:rsidRPr="00A0307D">
        <w:t xml:space="preserve">Processing of Payments </w:t>
      </w:r>
    </w:p>
    <w:p w14:paraId="7CA8B833" w14:textId="1EE44EE1" w:rsidR="009C4019" w:rsidRPr="00A0307D" w:rsidRDefault="00FC064E" w:rsidP="009C4019">
      <w:pPr>
        <w:pStyle w:val="ListParagraph"/>
        <w:numPr>
          <w:ilvl w:val="0"/>
          <w:numId w:val="31"/>
        </w:numPr>
        <w:spacing w:after="0"/>
      </w:pPr>
      <w:r>
        <w:t xml:space="preserve">Processing </w:t>
      </w:r>
      <w:r w:rsidR="006B1E41">
        <w:t xml:space="preserve">of </w:t>
      </w:r>
      <w:r>
        <w:t>exam support requests</w:t>
      </w:r>
    </w:p>
    <w:p w14:paraId="2A1CD7EA" w14:textId="77777777" w:rsidR="009C4019" w:rsidRPr="00A0307D" w:rsidRDefault="009C4019" w:rsidP="009C4019">
      <w:pPr>
        <w:pStyle w:val="ListParagraph"/>
        <w:numPr>
          <w:ilvl w:val="0"/>
          <w:numId w:val="31"/>
        </w:numPr>
        <w:spacing w:after="0"/>
      </w:pPr>
      <w:r w:rsidRPr="00A0307D">
        <w:t>Purchasing</w:t>
      </w:r>
    </w:p>
    <w:p w14:paraId="64306EBF" w14:textId="57EF0316" w:rsidR="009C4019" w:rsidRPr="00A0307D" w:rsidRDefault="00FC064E" w:rsidP="009C4019">
      <w:pPr>
        <w:pStyle w:val="ListParagraph"/>
        <w:numPr>
          <w:ilvl w:val="0"/>
          <w:numId w:val="31"/>
        </w:numPr>
        <w:spacing w:after="0"/>
      </w:pPr>
      <w:r>
        <w:t xml:space="preserve">Processing of I </w:t>
      </w:r>
      <w:r w:rsidR="006B1E41">
        <w:t>g</w:t>
      </w:r>
      <w:r>
        <w:t>rade queries/applications</w:t>
      </w:r>
    </w:p>
    <w:p w14:paraId="4584F3BC" w14:textId="77777777" w:rsidR="00587685" w:rsidRPr="00D52BFD" w:rsidRDefault="00587685" w:rsidP="00D85F62">
      <w:pPr>
        <w:spacing w:after="0"/>
      </w:pPr>
    </w:p>
    <w:p w14:paraId="00C85401" w14:textId="77777777" w:rsidR="00FC064E" w:rsidRPr="00FC064E" w:rsidRDefault="00FC064E" w:rsidP="00FC064E">
      <w:pPr>
        <w:spacing w:after="0"/>
        <w:rPr>
          <w:b/>
        </w:rPr>
      </w:pPr>
      <w:r w:rsidRPr="00FC064E">
        <w:rPr>
          <w:b/>
        </w:rPr>
        <w:t>Management of the booking system/making appointments</w:t>
      </w:r>
    </w:p>
    <w:p w14:paraId="00896C8F" w14:textId="44AD7C84" w:rsidR="00011968" w:rsidRDefault="00DD3B83" w:rsidP="00D85F62">
      <w:pPr>
        <w:pStyle w:val="ListParagraph"/>
        <w:numPr>
          <w:ilvl w:val="0"/>
          <w:numId w:val="15"/>
        </w:numPr>
        <w:spacing w:after="0"/>
      </w:pPr>
      <w:r>
        <w:t>I</w:t>
      </w:r>
      <w:r w:rsidR="00FC064E">
        <w:t xml:space="preserve">dentify </w:t>
      </w:r>
      <w:r w:rsidR="00011968" w:rsidRPr="00D52BFD">
        <w:t>which type of clinic best suits the needs of the student.</w:t>
      </w:r>
    </w:p>
    <w:p w14:paraId="33165A94" w14:textId="2C801F09" w:rsidR="00011968" w:rsidRDefault="00DD3B83" w:rsidP="00D85F62">
      <w:pPr>
        <w:pStyle w:val="ListParagraph"/>
        <w:numPr>
          <w:ilvl w:val="0"/>
          <w:numId w:val="15"/>
        </w:numPr>
        <w:spacing w:after="0"/>
      </w:pPr>
      <w:r>
        <w:t xml:space="preserve">Registration of </w:t>
      </w:r>
      <w:r w:rsidR="00011968">
        <w:t>th</w:t>
      </w:r>
      <w:r w:rsidR="00FC064E">
        <w:t>e student’s details in Socrates.</w:t>
      </w:r>
    </w:p>
    <w:p w14:paraId="7B9DB52F" w14:textId="3090061A" w:rsidR="00011968" w:rsidRPr="00D52BFD" w:rsidRDefault="00011968" w:rsidP="00D85F62">
      <w:pPr>
        <w:pStyle w:val="ListParagraph"/>
        <w:numPr>
          <w:ilvl w:val="0"/>
          <w:numId w:val="15"/>
        </w:numPr>
        <w:spacing w:after="0"/>
      </w:pPr>
      <w:r w:rsidRPr="00D52BFD">
        <w:t>Book</w:t>
      </w:r>
      <w:r w:rsidR="00DD3B83">
        <w:t xml:space="preserve">ing of </w:t>
      </w:r>
      <w:r w:rsidR="00B80B94">
        <w:t>the appropriate time slot.</w:t>
      </w:r>
    </w:p>
    <w:p w14:paraId="6C3CB41C" w14:textId="790EB958" w:rsidR="00011968" w:rsidRDefault="00A40767" w:rsidP="00D85F62">
      <w:pPr>
        <w:pStyle w:val="ListParagraph"/>
        <w:numPr>
          <w:ilvl w:val="0"/>
          <w:numId w:val="15"/>
        </w:numPr>
        <w:spacing w:after="0"/>
      </w:pPr>
      <w:r>
        <w:t>Arrange payments</w:t>
      </w:r>
      <w:r w:rsidR="00DD3B83">
        <w:t>.</w:t>
      </w:r>
    </w:p>
    <w:p w14:paraId="44E94D1E" w14:textId="54260293" w:rsidR="00075386" w:rsidRDefault="00075386" w:rsidP="00D85F62">
      <w:pPr>
        <w:pStyle w:val="ListParagraph"/>
        <w:numPr>
          <w:ilvl w:val="0"/>
          <w:numId w:val="15"/>
        </w:numPr>
        <w:spacing w:after="0"/>
      </w:pPr>
      <w:r>
        <w:t xml:space="preserve">Sign post students to </w:t>
      </w:r>
      <w:r w:rsidR="00A44090">
        <w:t xml:space="preserve">the </w:t>
      </w:r>
      <w:r>
        <w:t>waiting room.</w:t>
      </w:r>
    </w:p>
    <w:p w14:paraId="050EDF85" w14:textId="12D7DF2F" w:rsidR="00075386" w:rsidRDefault="00075386" w:rsidP="00D85F62">
      <w:pPr>
        <w:pStyle w:val="ListParagraph"/>
        <w:numPr>
          <w:ilvl w:val="0"/>
          <w:numId w:val="15"/>
        </w:numPr>
        <w:spacing w:after="0"/>
      </w:pPr>
      <w:r>
        <w:t>Provide instruction on check-in.</w:t>
      </w:r>
    </w:p>
    <w:p w14:paraId="7E99C3A5" w14:textId="6EC79F20" w:rsidR="00650FD7" w:rsidRDefault="00650FD7" w:rsidP="00D85F62">
      <w:pPr>
        <w:pStyle w:val="ListParagraph"/>
        <w:numPr>
          <w:ilvl w:val="0"/>
          <w:numId w:val="15"/>
        </w:numPr>
        <w:spacing w:after="0"/>
      </w:pPr>
      <w:r>
        <w:t>N</w:t>
      </w:r>
      <w:r w:rsidR="00816677">
        <w:t>o shows are recorded in Socrates.</w:t>
      </w:r>
    </w:p>
    <w:p w14:paraId="6FD68B48" w14:textId="77777777" w:rsidR="00011968" w:rsidRPr="00D52BFD" w:rsidRDefault="00011968" w:rsidP="00D85F62">
      <w:pPr>
        <w:pStyle w:val="ListParagraph"/>
        <w:spacing w:after="0"/>
        <w:ind w:left="1440"/>
      </w:pPr>
    </w:p>
    <w:p w14:paraId="6AAFE9CC" w14:textId="1AED17D8" w:rsidR="00011968" w:rsidRDefault="00011968" w:rsidP="00D85F62">
      <w:pPr>
        <w:spacing w:after="0"/>
        <w:rPr>
          <w:b/>
        </w:rPr>
      </w:pPr>
      <w:r w:rsidRPr="00D52BFD">
        <w:rPr>
          <w:b/>
        </w:rPr>
        <w:t xml:space="preserve">Processing of Payments </w:t>
      </w:r>
    </w:p>
    <w:p w14:paraId="6973C0B4" w14:textId="39AE7EAD" w:rsidR="003616C5" w:rsidRDefault="003616C5" w:rsidP="00D85F62">
      <w:pPr>
        <w:pStyle w:val="ListParagraph"/>
        <w:numPr>
          <w:ilvl w:val="0"/>
          <w:numId w:val="16"/>
        </w:numPr>
        <w:spacing w:after="0"/>
      </w:pPr>
      <w:r w:rsidRPr="003616C5">
        <w:lastRenderedPageBreak/>
        <w:t>Payments</w:t>
      </w:r>
      <w:r>
        <w:t xml:space="preserve"> are processed at the time of booking an appoint</w:t>
      </w:r>
      <w:r w:rsidR="00D7697D">
        <w:t>ment by card over the telephone using an integrated software programme.</w:t>
      </w:r>
    </w:p>
    <w:p w14:paraId="57E493EB" w14:textId="77777777" w:rsidR="007B303C" w:rsidRPr="003616C5" w:rsidRDefault="007B303C" w:rsidP="00D85F62">
      <w:pPr>
        <w:spacing w:after="0"/>
      </w:pPr>
    </w:p>
    <w:p w14:paraId="1969F35E" w14:textId="0D1C22B4" w:rsidR="00011968" w:rsidRPr="00D52BFD" w:rsidRDefault="003A7B95" w:rsidP="00D85F62">
      <w:pPr>
        <w:spacing w:after="0"/>
        <w:rPr>
          <w:b/>
        </w:rPr>
      </w:pPr>
      <w:r>
        <w:rPr>
          <w:b/>
        </w:rPr>
        <w:t xml:space="preserve">Processing of </w:t>
      </w:r>
      <w:r w:rsidR="00011968" w:rsidRPr="00D52BFD">
        <w:rPr>
          <w:b/>
        </w:rPr>
        <w:t>Exam Support</w:t>
      </w:r>
      <w:r>
        <w:rPr>
          <w:b/>
        </w:rPr>
        <w:t xml:space="preserve"> Requests</w:t>
      </w:r>
    </w:p>
    <w:p w14:paraId="7B5FD3C6" w14:textId="674EDE03" w:rsidR="00AB7A3A" w:rsidRDefault="003A7B95" w:rsidP="00D85F62">
      <w:pPr>
        <w:pStyle w:val="ListParagraph"/>
        <w:numPr>
          <w:ilvl w:val="0"/>
          <w:numId w:val="26"/>
        </w:numPr>
        <w:spacing w:after="0"/>
      </w:pPr>
      <w:r>
        <w:t>Manage queries and process required documentation.</w:t>
      </w:r>
    </w:p>
    <w:p w14:paraId="57A7FB05" w14:textId="5A669DFD" w:rsidR="003A7B95" w:rsidRDefault="003A7B95" w:rsidP="00D85F62">
      <w:pPr>
        <w:pStyle w:val="ListParagraph"/>
        <w:numPr>
          <w:ilvl w:val="0"/>
          <w:numId w:val="26"/>
        </w:numPr>
        <w:spacing w:after="0"/>
      </w:pPr>
      <w:r>
        <w:t>Details logged in student’s record.</w:t>
      </w:r>
    </w:p>
    <w:p w14:paraId="460B16E2" w14:textId="4D51757D" w:rsidR="00D553AD" w:rsidRDefault="003A7B95" w:rsidP="00D85F62">
      <w:pPr>
        <w:pStyle w:val="ListParagraph"/>
        <w:numPr>
          <w:ilvl w:val="0"/>
          <w:numId w:val="26"/>
        </w:numPr>
        <w:spacing w:after="0"/>
      </w:pPr>
      <w:r>
        <w:t>Academic Registry notified of request via Topdesk.</w:t>
      </w:r>
    </w:p>
    <w:p w14:paraId="0F7795F1" w14:textId="77777777" w:rsidR="00895665" w:rsidRDefault="00895665" w:rsidP="00D85F62">
      <w:pPr>
        <w:spacing w:after="0"/>
        <w:rPr>
          <w:b/>
        </w:rPr>
      </w:pPr>
    </w:p>
    <w:p w14:paraId="34051660" w14:textId="352CB70F" w:rsidR="00B61784" w:rsidRPr="0028719F" w:rsidRDefault="00B61784" w:rsidP="00D85F62">
      <w:pPr>
        <w:spacing w:after="0"/>
        <w:rPr>
          <w:b/>
        </w:rPr>
      </w:pPr>
      <w:r>
        <w:rPr>
          <w:b/>
        </w:rPr>
        <w:t>Purchasing</w:t>
      </w:r>
    </w:p>
    <w:p w14:paraId="5B2306FD" w14:textId="5AA4C678" w:rsidR="00651180" w:rsidRDefault="008E7963" w:rsidP="0094241F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Items are purchased in line with </w:t>
      </w:r>
      <w:hyperlink r:id="rId12" w:history="1">
        <w:r w:rsidRPr="005D62E2">
          <w:rPr>
            <w:rStyle w:val="Hyperlink"/>
          </w:rPr>
          <w:t>UL purchasing guidelines</w:t>
        </w:r>
      </w:hyperlink>
      <w:r w:rsidR="009761A9">
        <w:t>.</w:t>
      </w:r>
    </w:p>
    <w:p w14:paraId="087E0F7B" w14:textId="77777777" w:rsidR="00B61784" w:rsidRPr="00D52BFD" w:rsidRDefault="00B61784" w:rsidP="00D85F62">
      <w:pPr>
        <w:spacing w:after="0"/>
      </w:pPr>
    </w:p>
    <w:p w14:paraId="359F37CE" w14:textId="7AFC37EB" w:rsidR="00011968" w:rsidRPr="00D52BFD" w:rsidRDefault="006B1E41" w:rsidP="00D85F62">
      <w:pPr>
        <w:spacing w:after="0"/>
        <w:rPr>
          <w:b/>
        </w:rPr>
      </w:pPr>
      <w:r>
        <w:rPr>
          <w:b/>
        </w:rPr>
        <w:t>Processing of</w:t>
      </w:r>
      <w:r w:rsidR="005A7C13">
        <w:rPr>
          <w:b/>
        </w:rPr>
        <w:t xml:space="preserve"> </w:t>
      </w:r>
      <w:r>
        <w:rPr>
          <w:b/>
        </w:rPr>
        <w:t>Grade Queries/Applications</w:t>
      </w:r>
    </w:p>
    <w:p w14:paraId="454DF619" w14:textId="7AEAB651" w:rsidR="00414D6C" w:rsidRDefault="008209D6" w:rsidP="00D85F62">
      <w:pPr>
        <w:pStyle w:val="ListParagraph"/>
        <w:numPr>
          <w:ilvl w:val="0"/>
          <w:numId w:val="27"/>
        </w:numPr>
        <w:spacing w:after="0"/>
      </w:pPr>
      <w:r>
        <w:t xml:space="preserve">Processing of applications and queries as per the University’s </w:t>
      </w:r>
      <w:r w:rsidR="008E2653">
        <w:t>S</w:t>
      </w:r>
      <w:r>
        <w:t xml:space="preserve">tandard </w:t>
      </w:r>
      <w:r w:rsidR="008E2653">
        <w:t>O</w:t>
      </w:r>
      <w:r>
        <w:t xml:space="preserve">perating </w:t>
      </w:r>
      <w:r w:rsidR="008E2653">
        <w:t>Procedures</w:t>
      </w:r>
      <w:r>
        <w:t xml:space="preserve"> (to be ratified at the I Grade Committee in May 2023).</w:t>
      </w:r>
      <w:r w:rsidR="00414D6C">
        <w:t xml:space="preserve"> </w:t>
      </w:r>
    </w:p>
    <w:p w14:paraId="27B009B5" w14:textId="50B013AB" w:rsidR="008209D6" w:rsidRPr="008209D6" w:rsidRDefault="008209D6" w:rsidP="008209D6">
      <w:pPr>
        <w:spacing w:after="0"/>
        <w:rPr>
          <w:color w:val="005335"/>
          <w:sz w:val="24"/>
          <w:szCs w:val="24"/>
        </w:rPr>
      </w:pPr>
    </w:p>
    <w:p w14:paraId="1C0A70CF" w14:textId="4C2C07C7" w:rsidR="005550CF" w:rsidRPr="00020C75" w:rsidRDefault="005550CF" w:rsidP="00D85F62">
      <w:pPr>
        <w:pStyle w:val="Heading1"/>
        <w:spacing w:before="0"/>
        <w:rPr>
          <w:color w:val="005335"/>
          <w:sz w:val="24"/>
          <w:szCs w:val="24"/>
        </w:rPr>
      </w:pPr>
      <w:r w:rsidRPr="00020C75">
        <w:rPr>
          <w:color w:val="005335"/>
          <w:sz w:val="24"/>
          <w:szCs w:val="24"/>
        </w:rPr>
        <w:t>RECORDS</w:t>
      </w:r>
    </w:p>
    <w:p w14:paraId="0EC15600" w14:textId="4A11FBCE" w:rsidR="00440094" w:rsidRDefault="00440094" w:rsidP="00D85F62">
      <w:pPr>
        <w:spacing w:after="0"/>
      </w:pPr>
    </w:p>
    <w:p w14:paraId="7FB09DB3" w14:textId="7F5B0A77" w:rsidR="00440094" w:rsidRPr="00D52BFD" w:rsidRDefault="00440094" w:rsidP="00D85F62">
      <w:pPr>
        <w:spacing w:after="0"/>
        <w:rPr>
          <w:b/>
        </w:rPr>
      </w:pPr>
      <w:r w:rsidRPr="00D52BFD">
        <w:rPr>
          <w:b/>
        </w:rPr>
        <w:t>Record Keeping</w:t>
      </w:r>
      <w:r w:rsidR="00E86FF5">
        <w:rPr>
          <w:b/>
        </w:rPr>
        <w:t xml:space="preserve"> and disposal</w:t>
      </w:r>
    </w:p>
    <w:p w14:paraId="1B094998" w14:textId="44E4747B" w:rsidR="005550CF" w:rsidRDefault="005550CF" w:rsidP="00D85F62">
      <w:pPr>
        <w:pStyle w:val="ListParagraph"/>
        <w:numPr>
          <w:ilvl w:val="0"/>
          <w:numId w:val="28"/>
        </w:numPr>
        <w:spacing w:after="0"/>
      </w:pPr>
      <w:r>
        <w:t xml:space="preserve">Records are held by the </w:t>
      </w:r>
      <w:r w:rsidR="002B14E7">
        <w:t>SHC</w:t>
      </w:r>
      <w:r>
        <w:t xml:space="preserve"> for the period defined by individual processes. All members of staff operate in accordance with the </w:t>
      </w:r>
      <w:hyperlink r:id="rId13">
        <w:r w:rsidRPr="25F353F2">
          <w:rPr>
            <w:rStyle w:val="Hyperlink"/>
          </w:rPr>
          <w:t>University’s Records Management and Retention Policy</w:t>
        </w:r>
      </w:hyperlink>
      <w:r>
        <w:t xml:space="preserve"> </w:t>
      </w:r>
      <w:r w:rsidRPr="00D52BFD">
        <w:t xml:space="preserve">and the </w:t>
      </w:r>
      <w:hyperlink r:id="rId14" w:history="1">
        <w:r w:rsidRPr="00DB2FFA">
          <w:rPr>
            <w:rStyle w:val="Hyperlink"/>
          </w:rPr>
          <w:t>HSE Retention Policy</w:t>
        </w:r>
      </w:hyperlink>
      <w:r w:rsidRPr="00D52BFD">
        <w:t>.</w:t>
      </w:r>
    </w:p>
    <w:p w14:paraId="0B556149" w14:textId="3D6AFF4C" w:rsidR="00E86FF5" w:rsidRDefault="00E86FF5" w:rsidP="00D85F62">
      <w:pPr>
        <w:pStyle w:val="ListParagraph"/>
        <w:numPr>
          <w:ilvl w:val="0"/>
          <w:numId w:val="28"/>
        </w:numPr>
        <w:spacing w:after="0"/>
      </w:pPr>
      <w:r>
        <w:t xml:space="preserve">Responsible for checking any paper records </w:t>
      </w:r>
      <w:r w:rsidR="00CD318D">
        <w:t xml:space="preserve">still </w:t>
      </w:r>
      <w:r>
        <w:t>held are disposed of at the relevant time.</w:t>
      </w:r>
    </w:p>
    <w:p w14:paraId="2DC4A47A" w14:textId="510AC540" w:rsidR="00E86FF5" w:rsidRPr="00D52BFD" w:rsidRDefault="00CD318D" w:rsidP="00D85F62">
      <w:pPr>
        <w:pStyle w:val="ListParagraph"/>
        <w:numPr>
          <w:ilvl w:val="0"/>
          <w:numId w:val="28"/>
        </w:numPr>
        <w:spacing w:after="0"/>
      </w:pPr>
      <w:r>
        <w:t>Responsible for l</w:t>
      </w:r>
      <w:r w:rsidR="00E86FF5">
        <w:t>iais</w:t>
      </w:r>
      <w:r>
        <w:t>ing</w:t>
      </w:r>
      <w:r w:rsidR="00E86FF5">
        <w:t xml:space="preserve"> with software provider to initiate removal of electronic records at the appropriate time.</w:t>
      </w:r>
    </w:p>
    <w:p w14:paraId="4C2EEFFD" w14:textId="77777777" w:rsidR="00B61784" w:rsidRPr="00D52BFD" w:rsidRDefault="00B61784" w:rsidP="00D85F62">
      <w:pPr>
        <w:pStyle w:val="ListParagraph"/>
        <w:spacing w:after="0"/>
      </w:pPr>
    </w:p>
    <w:p w14:paraId="0CB6A670" w14:textId="77777777" w:rsidR="00A44D20" w:rsidRPr="00020C75" w:rsidRDefault="00A44D20" w:rsidP="00D85F62">
      <w:pPr>
        <w:pStyle w:val="Heading1"/>
        <w:spacing w:before="0"/>
        <w:rPr>
          <w:color w:val="005335"/>
          <w:sz w:val="24"/>
          <w:szCs w:val="24"/>
        </w:rPr>
      </w:pPr>
      <w:r w:rsidRPr="00020C75">
        <w:rPr>
          <w:color w:val="005335"/>
          <w:sz w:val="24"/>
          <w:szCs w:val="24"/>
        </w:rPr>
        <w:t>DOCUMENTATION</w:t>
      </w:r>
    </w:p>
    <w:p w14:paraId="383D8530" w14:textId="634735BD" w:rsidR="00B862C5" w:rsidRPr="00B862C5" w:rsidRDefault="00E86FF5" w:rsidP="00D85F62">
      <w:pPr>
        <w:spacing w:after="0"/>
      </w:pPr>
      <w:r>
        <w:t>A</w:t>
      </w:r>
      <w:r w:rsidR="00B862C5" w:rsidRPr="00B862C5">
        <w:t xml:space="preserve">ll documents </w:t>
      </w:r>
      <w:r w:rsidR="00B862C5">
        <w:t xml:space="preserve">related to the above KBPs are </w:t>
      </w:r>
      <w:r>
        <w:t xml:space="preserve">currently </w:t>
      </w:r>
      <w:r w:rsidR="00B862C5">
        <w:t>contained within the SHC’s working guidelines which is stored on the SHC shared drive.</w:t>
      </w:r>
      <w:r w:rsidR="00AA55D4">
        <w:t xml:space="preserve"> </w:t>
      </w:r>
      <w:r w:rsidR="00B862C5">
        <w:t>The SHC adheres to all relevant UL and HSE policies and guidelines.</w:t>
      </w:r>
    </w:p>
    <w:p w14:paraId="360639E7" w14:textId="77777777" w:rsidR="00B862C5" w:rsidRPr="00A44D20" w:rsidRDefault="00B862C5" w:rsidP="00D85F62">
      <w:pPr>
        <w:spacing w:after="0"/>
        <w:rPr>
          <w:b/>
        </w:rPr>
      </w:pPr>
    </w:p>
    <w:p w14:paraId="0CB6A679" w14:textId="77777777" w:rsidR="00F854DD" w:rsidRPr="00020C75" w:rsidRDefault="00F854DD" w:rsidP="00D85F62">
      <w:pPr>
        <w:pStyle w:val="Heading1"/>
        <w:spacing w:before="0"/>
        <w:rPr>
          <w:color w:val="005335"/>
          <w:sz w:val="24"/>
          <w:szCs w:val="24"/>
        </w:rPr>
      </w:pPr>
      <w:r w:rsidRPr="00020C75">
        <w:rPr>
          <w:color w:val="005335"/>
          <w:sz w:val="24"/>
          <w:szCs w:val="24"/>
        </w:rPr>
        <w:t>PROCESS VERIFICATION</w:t>
      </w:r>
    </w:p>
    <w:p w14:paraId="0CB6A67C" w14:textId="5DF45638" w:rsidR="00F854DD" w:rsidRDefault="00215655" w:rsidP="00D85F62">
      <w:pPr>
        <w:spacing w:after="0"/>
      </w:pPr>
      <w:r>
        <w:t>The processes of the SHC are audited annually through the QMS.</w:t>
      </w:r>
    </w:p>
    <w:p w14:paraId="76159191" w14:textId="77777777" w:rsidR="008E7963" w:rsidRDefault="008E7963" w:rsidP="00D85F62">
      <w:pPr>
        <w:pStyle w:val="Heading1"/>
        <w:spacing w:before="0"/>
        <w:rPr>
          <w:color w:val="005335"/>
          <w:sz w:val="24"/>
          <w:szCs w:val="24"/>
        </w:rPr>
      </w:pPr>
    </w:p>
    <w:p w14:paraId="22D7EB28" w14:textId="77777777" w:rsidR="008E7963" w:rsidRDefault="008E7963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5335"/>
          <w:sz w:val="24"/>
          <w:szCs w:val="24"/>
        </w:rPr>
      </w:pPr>
      <w:r>
        <w:rPr>
          <w:color w:val="005335"/>
          <w:sz w:val="24"/>
          <w:szCs w:val="24"/>
        </w:rPr>
        <w:br w:type="page"/>
      </w:r>
    </w:p>
    <w:p w14:paraId="0CB6A67D" w14:textId="5BF360DD" w:rsidR="00BD7AE0" w:rsidRPr="00020C75" w:rsidRDefault="00BD7AE0" w:rsidP="00D85F62">
      <w:pPr>
        <w:pStyle w:val="Heading1"/>
        <w:spacing w:before="0"/>
        <w:rPr>
          <w:color w:val="005335"/>
          <w:sz w:val="24"/>
          <w:szCs w:val="24"/>
        </w:rPr>
      </w:pPr>
      <w:r w:rsidRPr="00020C75">
        <w:rPr>
          <w:color w:val="005335"/>
          <w:sz w:val="24"/>
          <w:szCs w:val="24"/>
        </w:rPr>
        <w:lastRenderedPageBreak/>
        <w:t>REVISION HISTORY</w:t>
      </w:r>
    </w:p>
    <w:p w14:paraId="0CB6A67E" w14:textId="77777777" w:rsidR="00BD7AE0" w:rsidRPr="00BD7AE0" w:rsidRDefault="00BD7AE0" w:rsidP="00D85F62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134"/>
        <w:gridCol w:w="1560"/>
        <w:gridCol w:w="2693"/>
        <w:gridCol w:w="2126"/>
      </w:tblGrid>
      <w:tr w:rsidR="00711EAF" w:rsidRPr="00141577" w14:paraId="0CB6A684" w14:textId="77777777" w:rsidTr="003F3111">
        <w:tc>
          <w:tcPr>
            <w:tcW w:w="1242" w:type="dxa"/>
          </w:tcPr>
          <w:p w14:paraId="0CB6A67F" w14:textId="77777777" w:rsidR="00711EAF" w:rsidRPr="00141577" w:rsidRDefault="00711EAF" w:rsidP="00D85F6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41577">
              <w:rPr>
                <w:rFonts w:ascii="Calibri" w:hAnsi="Calibri"/>
                <w:b/>
                <w:bCs/>
                <w:sz w:val="18"/>
                <w:szCs w:val="18"/>
              </w:rPr>
              <w:t>Revision No.</w:t>
            </w:r>
          </w:p>
        </w:tc>
        <w:tc>
          <w:tcPr>
            <w:tcW w:w="1134" w:type="dxa"/>
          </w:tcPr>
          <w:p w14:paraId="0CB6A680" w14:textId="77777777" w:rsidR="00711EAF" w:rsidRPr="00141577" w:rsidRDefault="00711EAF" w:rsidP="00D85F6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41577">
              <w:rPr>
                <w:rFonts w:ascii="Calibri" w:hAnsi="Calibr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1560" w:type="dxa"/>
          </w:tcPr>
          <w:p w14:paraId="0CB6A681" w14:textId="77777777" w:rsidR="00711EAF" w:rsidRPr="00141577" w:rsidRDefault="00711EAF" w:rsidP="00D85F6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41577">
              <w:rPr>
                <w:rFonts w:ascii="Calibri" w:hAnsi="Calibri"/>
                <w:b/>
                <w:bCs/>
                <w:sz w:val="18"/>
                <w:szCs w:val="18"/>
              </w:rPr>
              <w:t>Approved by:</w:t>
            </w:r>
          </w:p>
        </w:tc>
        <w:tc>
          <w:tcPr>
            <w:tcW w:w="2693" w:type="dxa"/>
          </w:tcPr>
          <w:p w14:paraId="0CB6A682" w14:textId="77777777" w:rsidR="00711EAF" w:rsidRPr="00141577" w:rsidRDefault="00711EAF" w:rsidP="00D85F6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41577">
              <w:rPr>
                <w:rFonts w:ascii="Calibri" w:hAnsi="Calibri"/>
                <w:b/>
                <w:bCs/>
                <w:sz w:val="18"/>
                <w:szCs w:val="18"/>
              </w:rPr>
              <w:t>Details of Change</w:t>
            </w:r>
          </w:p>
        </w:tc>
        <w:tc>
          <w:tcPr>
            <w:tcW w:w="2126" w:type="dxa"/>
          </w:tcPr>
          <w:p w14:paraId="0CB6A683" w14:textId="77777777" w:rsidR="00711EAF" w:rsidRPr="00141577" w:rsidRDefault="00711EAF" w:rsidP="00D85F6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Process Owner</w:t>
            </w:r>
          </w:p>
        </w:tc>
      </w:tr>
      <w:tr w:rsidR="009C0EAC" w:rsidRPr="00141577" w14:paraId="0CB6A68A" w14:textId="77777777" w:rsidTr="003F3111">
        <w:tc>
          <w:tcPr>
            <w:tcW w:w="1242" w:type="dxa"/>
          </w:tcPr>
          <w:p w14:paraId="0CB6A685" w14:textId="41F7FD13" w:rsidR="009C0EAC" w:rsidRPr="00141577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41577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CB6A686" w14:textId="61B49645" w:rsidR="009C0EAC" w:rsidRPr="00141577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July 2013</w:t>
            </w:r>
          </w:p>
        </w:tc>
        <w:tc>
          <w:tcPr>
            <w:tcW w:w="1560" w:type="dxa"/>
          </w:tcPr>
          <w:p w14:paraId="0CB6A687" w14:textId="67F5C322" w:rsidR="009C0EAC" w:rsidRPr="00141577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Niall Cahill</w:t>
            </w:r>
          </w:p>
        </w:tc>
        <w:tc>
          <w:tcPr>
            <w:tcW w:w="2693" w:type="dxa"/>
          </w:tcPr>
          <w:p w14:paraId="0CB6A688" w14:textId="2D37D783" w:rsidR="009C0EAC" w:rsidRPr="00BD7AE0" w:rsidRDefault="009C0EAC" w:rsidP="00D85F62">
            <w:pPr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594B6A">
              <w:rPr>
                <w:rFonts w:ascii="Calibri" w:hAnsi="Calibri"/>
                <w:sz w:val="18"/>
                <w:szCs w:val="18"/>
              </w:rPr>
              <w:t>Initial Release</w:t>
            </w:r>
          </w:p>
        </w:tc>
        <w:tc>
          <w:tcPr>
            <w:tcW w:w="2126" w:type="dxa"/>
          </w:tcPr>
          <w:p w14:paraId="0CB6A689" w14:textId="52537CE1" w:rsidR="009C0EAC" w:rsidRPr="00141577" w:rsidRDefault="009C0EAC" w:rsidP="00D85F62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Niall Cahill</w:t>
            </w:r>
          </w:p>
        </w:tc>
      </w:tr>
      <w:tr w:rsidR="009C0EAC" w:rsidRPr="00141577" w14:paraId="0CB6A690" w14:textId="77777777" w:rsidTr="003F3111">
        <w:tc>
          <w:tcPr>
            <w:tcW w:w="1242" w:type="dxa"/>
          </w:tcPr>
          <w:p w14:paraId="0CB6A68B" w14:textId="67EA97BB" w:rsidR="009C0EAC" w:rsidRPr="00141577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CB6A68C" w14:textId="2DCBD287" w:rsidR="009C0EAC" w:rsidRPr="00141577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July 2017</w:t>
            </w:r>
          </w:p>
        </w:tc>
        <w:tc>
          <w:tcPr>
            <w:tcW w:w="1560" w:type="dxa"/>
          </w:tcPr>
          <w:p w14:paraId="0CB6A68D" w14:textId="7F58469A" w:rsidR="009C0EAC" w:rsidRPr="00141577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Claire Kearns</w:t>
            </w:r>
          </w:p>
        </w:tc>
        <w:tc>
          <w:tcPr>
            <w:tcW w:w="2693" w:type="dxa"/>
          </w:tcPr>
          <w:p w14:paraId="33C3E1E5" w14:textId="77777777" w:rsidR="009C0EAC" w:rsidRPr="00E810EC" w:rsidRDefault="009C0EAC" w:rsidP="00D85F6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E810EC">
              <w:rPr>
                <w:rFonts w:ascii="Calibri" w:hAnsi="Calibri"/>
                <w:sz w:val="18"/>
                <w:szCs w:val="18"/>
              </w:rPr>
              <w:t>Inclusion of additional procedures and updates to existing ones.</w:t>
            </w:r>
          </w:p>
          <w:p w14:paraId="0CB6A68E" w14:textId="78997FAC" w:rsidR="009C0EAC" w:rsidRPr="00BD7AE0" w:rsidRDefault="009C0EAC" w:rsidP="00D85F62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B6A68F" w14:textId="7CBDE421" w:rsidR="009C0EAC" w:rsidRPr="00141577" w:rsidRDefault="009C0EAC" w:rsidP="00D85F62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Claire Kearns</w:t>
            </w:r>
          </w:p>
        </w:tc>
      </w:tr>
      <w:tr w:rsidR="009C0EAC" w:rsidRPr="00141577" w14:paraId="30EB8909" w14:textId="77777777" w:rsidTr="003F3111">
        <w:tc>
          <w:tcPr>
            <w:tcW w:w="1242" w:type="dxa"/>
          </w:tcPr>
          <w:p w14:paraId="2017D7BC" w14:textId="56F4F3D6" w:rsidR="009C0EAC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DBC13E0" w14:textId="0E3B4EB8" w:rsidR="009C0EAC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 2018</w:t>
            </w:r>
          </w:p>
        </w:tc>
        <w:tc>
          <w:tcPr>
            <w:tcW w:w="1560" w:type="dxa"/>
          </w:tcPr>
          <w:p w14:paraId="43534447" w14:textId="1447AF48" w:rsidR="009C0EAC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Claire Kearns</w:t>
            </w:r>
          </w:p>
        </w:tc>
        <w:tc>
          <w:tcPr>
            <w:tcW w:w="2693" w:type="dxa"/>
          </w:tcPr>
          <w:p w14:paraId="6C6F31B4" w14:textId="1D1C06BE" w:rsidR="009C0EAC" w:rsidRPr="00E810EC" w:rsidRDefault="009C0EAC" w:rsidP="00D85F62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E810EC">
              <w:rPr>
                <w:rFonts w:ascii="Calibri" w:hAnsi="Calibri"/>
                <w:i/>
                <w:sz w:val="18"/>
                <w:szCs w:val="18"/>
              </w:rPr>
              <w:t>Inclusion of additional wording suggested at Audit Meeting</w:t>
            </w:r>
          </w:p>
        </w:tc>
        <w:tc>
          <w:tcPr>
            <w:tcW w:w="2126" w:type="dxa"/>
          </w:tcPr>
          <w:p w14:paraId="00D2C566" w14:textId="573B7998" w:rsidR="009C0EAC" w:rsidRDefault="009C0EAC" w:rsidP="00D85F62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Claire Kearns</w:t>
            </w:r>
          </w:p>
        </w:tc>
      </w:tr>
      <w:tr w:rsidR="009C0EAC" w:rsidRPr="00141577" w14:paraId="105CA772" w14:textId="77777777" w:rsidTr="003F3111">
        <w:tc>
          <w:tcPr>
            <w:tcW w:w="1242" w:type="dxa"/>
          </w:tcPr>
          <w:p w14:paraId="6390C8BC" w14:textId="4D90679A" w:rsidR="009C0EAC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471BD32" w14:textId="37E358B6" w:rsidR="009C0EAC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Aug 2019</w:t>
            </w:r>
          </w:p>
        </w:tc>
        <w:tc>
          <w:tcPr>
            <w:tcW w:w="1560" w:type="dxa"/>
          </w:tcPr>
          <w:p w14:paraId="5A740C64" w14:textId="27CF08D3" w:rsidR="009C0EAC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Claire Kearns</w:t>
            </w:r>
          </w:p>
        </w:tc>
        <w:tc>
          <w:tcPr>
            <w:tcW w:w="2693" w:type="dxa"/>
          </w:tcPr>
          <w:p w14:paraId="4C923DCD" w14:textId="77777777" w:rsidR="009C0EAC" w:rsidRPr="00E810EC" w:rsidRDefault="009C0EAC" w:rsidP="00D85F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E810EC">
              <w:rPr>
                <w:rFonts w:ascii="Calibri" w:hAnsi="Calibri"/>
                <w:i/>
                <w:sz w:val="18"/>
                <w:szCs w:val="18"/>
              </w:rPr>
              <w:t>Addition of Appendix 1</w:t>
            </w:r>
          </w:p>
          <w:p w14:paraId="2159AF53" w14:textId="77777777" w:rsidR="009C0EAC" w:rsidRPr="00E810EC" w:rsidRDefault="009C0EAC" w:rsidP="00D85F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E810EC">
              <w:rPr>
                <w:rFonts w:ascii="Calibri" w:hAnsi="Calibri"/>
                <w:i/>
                <w:sz w:val="18"/>
                <w:szCs w:val="18"/>
              </w:rPr>
              <w:t>Amended procedures wording to include “nurse led clinics”.</w:t>
            </w:r>
          </w:p>
          <w:p w14:paraId="310C4161" w14:textId="08A7D26E" w:rsidR="009C0EAC" w:rsidRPr="00E810EC" w:rsidRDefault="009C0EAC" w:rsidP="00D85F62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E810EC">
              <w:rPr>
                <w:rFonts w:ascii="Calibri" w:hAnsi="Calibri"/>
                <w:i/>
                <w:sz w:val="18"/>
                <w:szCs w:val="18"/>
              </w:rPr>
              <w:t>Addition of storage of cash in a secure safe to Processing of Payments Received.</w:t>
            </w:r>
          </w:p>
        </w:tc>
        <w:tc>
          <w:tcPr>
            <w:tcW w:w="2126" w:type="dxa"/>
          </w:tcPr>
          <w:p w14:paraId="3E34F30A" w14:textId="2940802F" w:rsidR="009C0EAC" w:rsidRDefault="009C0EAC" w:rsidP="00D85F62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Claire Kearns</w:t>
            </w:r>
          </w:p>
        </w:tc>
      </w:tr>
      <w:tr w:rsidR="009C0EAC" w:rsidRPr="00141577" w14:paraId="6CFDC72A" w14:textId="77777777" w:rsidTr="003F3111">
        <w:tc>
          <w:tcPr>
            <w:tcW w:w="1242" w:type="dxa"/>
          </w:tcPr>
          <w:p w14:paraId="5ECE8F91" w14:textId="77777777" w:rsidR="009C0EAC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  <w:p w14:paraId="32457216" w14:textId="77777777" w:rsidR="009C0EAC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367EAD" w14:textId="35668A83" w:rsidR="009C0EAC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Aug 2021</w:t>
            </w:r>
          </w:p>
        </w:tc>
        <w:tc>
          <w:tcPr>
            <w:tcW w:w="1560" w:type="dxa"/>
          </w:tcPr>
          <w:p w14:paraId="1EA66DAB" w14:textId="39DC9F74" w:rsidR="009C0EAC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Claire Kearns</w:t>
            </w:r>
          </w:p>
        </w:tc>
        <w:tc>
          <w:tcPr>
            <w:tcW w:w="2693" w:type="dxa"/>
          </w:tcPr>
          <w:p w14:paraId="71CA0326" w14:textId="5FDDF324" w:rsidR="009C0EAC" w:rsidRPr="00E810EC" w:rsidRDefault="009C0EAC" w:rsidP="00D85F62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E810EC">
              <w:rPr>
                <w:rFonts w:ascii="Calibri" w:hAnsi="Calibri"/>
                <w:i/>
                <w:sz w:val="18"/>
                <w:szCs w:val="18"/>
              </w:rPr>
              <w:t>Updating of document to reflect changes to procedures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E810EC">
              <w:rPr>
                <w:rFonts w:ascii="Calibri" w:hAnsi="Calibri"/>
                <w:i/>
                <w:sz w:val="18"/>
                <w:szCs w:val="18"/>
              </w:rPr>
              <w:t>due to the pandemic.</w:t>
            </w:r>
          </w:p>
        </w:tc>
        <w:tc>
          <w:tcPr>
            <w:tcW w:w="2126" w:type="dxa"/>
          </w:tcPr>
          <w:p w14:paraId="6DE7B453" w14:textId="60C5894A" w:rsidR="009C0EAC" w:rsidRDefault="009C0EAC" w:rsidP="00D85F62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Claire Kearns</w:t>
            </w:r>
          </w:p>
        </w:tc>
      </w:tr>
      <w:tr w:rsidR="009C0EAC" w:rsidRPr="00141577" w14:paraId="2DF894DF" w14:textId="77777777" w:rsidTr="003F3111">
        <w:tc>
          <w:tcPr>
            <w:tcW w:w="1242" w:type="dxa"/>
          </w:tcPr>
          <w:p w14:paraId="15A8D339" w14:textId="3473EAE1" w:rsidR="009C0EAC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08BBF42C" w14:textId="5E069899" w:rsidR="009C0EAC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 2021</w:t>
            </w:r>
          </w:p>
        </w:tc>
        <w:tc>
          <w:tcPr>
            <w:tcW w:w="1560" w:type="dxa"/>
          </w:tcPr>
          <w:p w14:paraId="2D92F3E2" w14:textId="3E18FDC6" w:rsidR="009C0EAC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Claire Kearns</w:t>
            </w:r>
          </w:p>
        </w:tc>
        <w:tc>
          <w:tcPr>
            <w:tcW w:w="2693" w:type="dxa"/>
          </w:tcPr>
          <w:p w14:paraId="5FCC66C0" w14:textId="77777777" w:rsidR="009C0EAC" w:rsidRDefault="009C0EAC" w:rsidP="00D85F6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Addition of technology management to list of procedures</w:t>
            </w:r>
          </w:p>
          <w:p w14:paraId="79A2EBE8" w14:textId="3F8EBB14" w:rsidR="009C0EAC" w:rsidRPr="00E810EC" w:rsidRDefault="009C0EAC" w:rsidP="00D85F62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E810EC">
              <w:rPr>
                <w:rFonts w:ascii="Calibri" w:hAnsi="Calibri"/>
                <w:i/>
                <w:sz w:val="18"/>
                <w:szCs w:val="18"/>
              </w:rPr>
              <w:t>Updating of document to reflect changes to procedures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E810EC">
              <w:rPr>
                <w:rFonts w:ascii="Calibri" w:hAnsi="Calibri"/>
                <w:i/>
                <w:sz w:val="18"/>
                <w:szCs w:val="18"/>
              </w:rPr>
              <w:t>due to the pandemic.</w:t>
            </w:r>
          </w:p>
        </w:tc>
        <w:tc>
          <w:tcPr>
            <w:tcW w:w="2126" w:type="dxa"/>
          </w:tcPr>
          <w:p w14:paraId="7A411611" w14:textId="61ABB43F" w:rsidR="009C0EAC" w:rsidRDefault="009C0EAC" w:rsidP="00D85F62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Claire Kearns</w:t>
            </w:r>
          </w:p>
        </w:tc>
      </w:tr>
      <w:tr w:rsidR="009C0EAC" w:rsidRPr="00141577" w14:paraId="6411A32D" w14:textId="77777777" w:rsidTr="003F3111">
        <w:tc>
          <w:tcPr>
            <w:tcW w:w="1242" w:type="dxa"/>
          </w:tcPr>
          <w:p w14:paraId="59BB99F3" w14:textId="13ADDA34" w:rsidR="009C0EAC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0D0DEC00" w14:textId="0F98C31A" w:rsidR="009C0EAC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 2021</w:t>
            </w:r>
          </w:p>
        </w:tc>
        <w:tc>
          <w:tcPr>
            <w:tcW w:w="1560" w:type="dxa"/>
          </w:tcPr>
          <w:p w14:paraId="6A2384FA" w14:textId="7281777C" w:rsidR="009C0EAC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Claire Kearns</w:t>
            </w:r>
          </w:p>
        </w:tc>
        <w:tc>
          <w:tcPr>
            <w:tcW w:w="2693" w:type="dxa"/>
          </w:tcPr>
          <w:p w14:paraId="6FB167DF" w14:textId="6BD1D558" w:rsidR="009C0EAC" w:rsidRDefault="009C0EAC" w:rsidP="00D85F62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Updates recommended at internal audit</w:t>
            </w:r>
          </w:p>
        </w:tc>
        <w:tc>
          <w:tcPr>
            <w:tcW w:w="2126" w:type="dxa"/>
          </w:tcPr>
          <w:p w14:paraId="03EADC4A" w14:textId="6BF27033" w:rsidR="009C0EAC" w:rsidRDefault="009C0EAC" w:rsidP="00D85F62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Claire Kearns</w:t>
            </w:r>
          </w:p>
        </w:tc>
      </w:tr>
      <w:tr w:rsidR="009C0EAC" w:rsidRPr="00141577" w14:paraId="132774C0" w14:textId="77777777" w:rsidTr="003F3111">
        <w:tc>
          <w:tcPr>
            <w:tcW w:w="1242" w:type="dxa"/>
          </w:tcPr>
          <w:p w14:paraId="0BB2ABBB" w14:textId="6BB6AFBB" w:rsidR="009C0EAC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6072E0CD" w14:textId="5A808BCC" w:rsidR="009C0EAC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Feb 2023</w:t>
            </w:r>
          </w:p>
        </w:tc>
        <w:tc>
          <w:tcPr>
            <w:tcW w:w="1560" w:type="dxa"/>
          </w:tcPr>
          <w:p w14:paraId="3226F755" w14:textId="107FFC7C" w:rsidR="009C0EAC" w:rsidRDefault="009C0EAC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Claire Kearns</w:t>
            </w:r>
          </w:p>
        </w:tc>
        <w:tc>
          <w:tcPr>
            <w:tcW w:w="2693" w:type="dxa"/>
          </w:tcPr>
          <w:p w14:paraId="1905DFB1" w14:textId="77777777" w:rsidR="009C0EAC" w:rsidRDefault="009C0EAC" w:rsidP="00D85F6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Updates to I grade process</w:t>
            </w:r>
          </w:p>
          <w:p w14:paraId="11633716" w14:textId="77777777" w:rsidR="009C0EAC" w:rsidRDefault="009C0EAC" w:rsidP="00D85F6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Removal of Technology Management section as this is not a process</w:t>
            </w:r>
          </w:p>
          <w:p w14:paraId="1BEB5012" w14:textId="2644F9CC" w:rsidR="009C0EAC" w:rsidRDefault="009C0EAC" w:rsidP="00D85F62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Update to Emergency Response Procedure</w:t>
            </w:r>
          </w:p>
        </w:tc>
        <w:tc>
          <w:tcPr>
            <w:tcW w:w="2126" w:type="dxa"/>
          </w:tcPr>
          <w:p w14:paraId="2D6B945D" w14:textId="3F2FC06E" w:rsidR="009C0EAC" w:rsidRDefault="009C0EAC" w:rsidP="00D85F62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Claire Kearns</w:t>
            </w:r>
          </w:p>
        </w:tc>
      </w:tr>
      <w:tr w:rsidR="00A74EBD" w:rsidRPr="00141577" w14:paraId="21504EF4" w14:textId="77777777" w:rsidTr="003F3111">
        <w:tc>
          <w:tcPr>
            <w:tcW w:w="1242" w:type="dxa"/>
          </w:tcPr>
          <w:p w14:paraId="01439CC1" w14:textId="1FC6766E" w:rsidR="00A74EBD" w:rsidRDefault="00A74EBD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19E14C31" w14:textId="0AA82597" w:rsidR="00A74EBD" w:rsidRDefault="00A74EBD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 2023</w:t>
            </w:r>
          </w:p>
        </w:tc>
        <w:tc>
          <w:tcPr>
            <w:tcW w:w="1560" w:type="dxa"/>
          </w:tcPr>
          <w:p w14:paraId="7334B07E" w14:textId="2B4C753F" w:rsidR="00A74EBD" w:rsidRDefault="00A74EBD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Claire Kearns</w:t>
            </w:r>
          </w:p>
        </w:tc>
        <w:tc>
          <w:tcPr>
            <w:tcW w:w="2693" w:type="dxa"/>
          </w:tcPr>
          <w:p w14:paraId="4763BC0F" w14:textId="131372DB" w:rsidR="00A74EBD" w:rsidRDefault="00A74EBD" w:rsidP="00D85F6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Transfer of KBPs to new template and revision as necessary.</w:t>
            </w:r>
          </w:p>
        </w:tc>
        <w:tc>
          <w:tcPr>
            <w:tcW w:w="2126" w:type="dxa"/>
          </w:tcPr>
          <w:p w14:paraId="58326B6E" w14:textId="123117C2" w:rsidR="00A74EBD" w:rsidRDefault="00A74EBD" w:rsidP="00D85F62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Claire Kearns</w:t>
            </w:r>
          </w:p>
        </w:tc>
      </w:tr>
      <w:tr w:rsidR="001A05EE" w:rsidRPr="00141577" w14:paraId="38407E85" w14:textId="77777777" w:rsidTr="003F3111">
        <w:tc>
          <w:tcPr>
            <w:tcW w:w="1242" w:type="dxa"/>
          </w:tcPr>
          <w:p w14:paraId="29DB839F" w14:textId="2C14B9A7" w:rsidR="001A05EE" w:rsidRDefault="001A05EE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65553563" w14:textId="748971DA" w:rsidR="001A05EE" w:rsidRDefault="001A05EE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Aug 2023</w:t>
            </w:r>
          </w:p>
        </w:tc>
        <w:tc>
          <w:tcPr>
            <w:tcW w:w="1560" w:type="dxa"/>
          </w:tcPr>
          <w:p w14:paraId="10EE13E0" w14:textId="0AAF00ED" w:rsidR="001A05EE" w:rsidRDefault="001A05EE" w:rsidP="00D85F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Claire Kearns</w:t>
            </w:r>
          </w:p>
        </w:tc>
        <w:tc>
          <w:tcPr>
            <w:tcW w:w="2693" w:type="dxa"/>
          </w:tcPr>
          <w:p w14:paraId="187D23FC" w14:textId="12DCD8B4" w:rsidR="001A05EE" w:rsidRDefault="001A05EE" w:rsidP="00D85F6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Inserted SAD logo</w:t>
            </w:r>
          </w:p>
        </w:tc>
        <w:tc>
          <w:tcPr>
            <w:tcW w:w="2126" w:type="dxa"/>
          </w:tcPr>
          <w:p w14:paraId="13DA4973" w14:textId="55D959A5" w:rsidR="001A05EE" w:rsidRDefault="001A05EE" w:rsidP="00D85F62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Claire Kearns</w:t>
            </w:r>
          </w:p>
        </w:tc>
      </w:tr>
    </w:tbl>
    <w:p w14:paraId="0CB6A691" w14:textId="77777777" w:rsidR="00711EAF" w:rsidRDefault="00711EAF" w:rsidP="00D85F62">
      <w:pPr>
        <w:spacing w:after="0"/>
        <w:rPr>
          <w:rFonts w:cs="Arial"/>
        </w:rPr>
      </w:pPr>
    </w:p>
    <w:p w14:paraId="0CB6A692" w14:textId="77777777" w:rsidR="00711EAF" w:rsidRDefault="00711EAF" w:rsidP="00D85F62">
      <w:pPr>
        <w:spacing w:after="0"/>
      </w:pPr>
    </w:p>
    <w:p w14:paraId="0CB6A693" w14:textId="77777777" w:rsidR="00F036D0" w:rsidRPr="00F854DD" w:rsidRDefault="00F036D0" w:rsidP="00D85F62">
      <w:pPr>
        <w:spacing w:after="0"/>
      </w:pPr>
    </w:p>
    <w:sectPr w:rsidR="00F036D0" w:rsidRPr="00F854DD" w:rsidSect="00984D8E">
      <w:footerReference w:type="default" r:id="rId15"/>
      <w:pgSz w:w="11906" w:h="16838" w:code="9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5613B" w14:textId="77777777" w:rsidR="00057EBF" w:rsidRDefault="00057EBF" w:rsidP="0039292F">
      <w:pPr>
        <w:spacing w:after="0" w:line="240" w:lineRule="auto"/>
      </w:pPr>
      <w:r>
        <w:separator/>
      </w:r>
    </w:p>
  </w:endnote>
  <w:endnote w:type="continuationSeparator" w:id="0">
    <w:p w14:paraId="441099DB" w14:textId="77777777" w:rsidR="00057EBF" w:rsidRDefault="00057EBF" w:rsidP="0039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6A69A" w14:textId="7E8584C6" w:rsidR="0039292F" w:rsidRDefault="0039292F" w:rsidP="00020C75">
    <w:pPr>
      <w:pStyle w:val="Footer"/>
      <w:pBdr>
        <w:top w:val="single" w:sz="4" w:space="1" w:color="auto"/>
      </w:pBdr>
      <w:tabs>
        <w:tab w:val="clear" w:pos="9026"/>
        <w:tab w:val="right" w:pos="8505"/>
      </w:tabs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Name of Division</w:t>
    </w:r>
    <w:r>
      <w:rPr>
        <w:rFonts w:asciiTheme="majorHAnsi" w:eastAsiaTheme="majorEastAsia" w:hAnsiTheme="majorHAnsi" w:cstheme="majorBidi"/>
      </w:rPr>
      <w:tab/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CF6040" w:rsidRPr="00CF604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 w:rsidR="004F30F0">
      <w:rPr>
        <w:rFonts w:asciiTheme="majorHAnsi" w:eastAsiaTheme="majorEastAsia" w:hAnsiTheme="majorHAnsi" w:cstheme="majorBidi"/>
        <w:noProof/>
      </w:rPr>
      <w:tab/>
    </w:r>
    <w:r w:rsidR="001C3A5C">
      <w:rPr>
        <w:rFonts w:asciiTheme="majorHAnsi" w:eastAsiaTheme="majorEastAsia" w:hAnsiTheme="majorHAnsi" w:cstheme="majorBidi"/>
        <w:noProof/>
      </w:rPr>
      <w:tab/>
    </w:r>
    <w:r w:rsidR="004F30F0">
      <w:rPr>
        <w:rFonts w:asciiTheme="majorHAnsi" w:eastAsiaTheme="majorEastAsia" w:hAnsiTheme="majorHAnsi" w:cstheme="majorBidi"/>
        <w:noProof/>
      </w:rPr>
      <w:t xml:space="preserve">Rev. </w:t>
    </w:r>
    <w:r w:rsidR="00820539">
      <w:rPr>
        <w:rFonts w:asciiTheme="majorHAnsi" w:eastAsiaTheme="majorEastAsia" w:hAnsiTheme="majorHAnsi" w:cstheme="majorBidi"/>
        <w:noProof/>
      </w:rPr>
      <w:t>1</w:t>
    </w:r>
  </w:p>
  <w:p w14:paraId="0CB6A69B" w14:textId="77777777" w:rsidR="0039292F" w:rsidRDefault="00392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06CEF" w14:textId="77777777" w:rsidR="00057EBF" w:rsidRDefault="00057EBF" w:rsidP="0039292F">
      <w:pPr>
        <w:spacing w:after="0" w:line="240" w:lineRule="auto"/>
      </w:pPr>
      <w:r>
        <w:separator/>
      </w:r>
    </w:p>
  </w:footnote>
  <w:footnote w:type="continuationSeparator" w:id="0">
    <w:p w14:paraId="7B5A20ED" w14:textId="77777777" w:rsidR="00057EBF" w:rsidRDefault="00057EBF" w:rsidP="00392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675"/>
    <w:multiLevelType w:val="hybridMultilevel"/>
    <w:tmpl w:val="6C4AE090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7E3D60"/>
    <w:multiLevelType w:val="hybridMultilevel"/>
    <w:tmpl w:val="730AB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15D8"/>
    <w:multiLevelType w:val="hybridMultilevel"/>
    <w:tmpl w:val="C2EED73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30B45"/>
    <w:multiLevelType w:val="hybridMultilevel"/>
    <w:tmpl w:val="2FB6CA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367FF"/>
    <w:multiLevelType w:val="hybridMultilevel"/>
    <w:tmpl w:val="F8D6E9FC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3F43D7"/>
    <w:multiLevelType w:val="hybridMultilevel"/>
    <w:tmpl w:val="993C1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F148A"/>
    <w:multiLevelType w:val="hybridMultilevel"/>
    <w:tmpl w:val="5E0A39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0716D"/>
    <w:multiLevelType w:val="hybridMultilevel"/>
    <w:tmpl w:val="5212D31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66495"/>
    <w:multiLevelType w:val="hybridMultilevel"/>
    <w:tmpl w:val="82487ABA"/>
    <w:lvl w:ilvl="0" w:tplc="7A768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7C29A1"/>
    <w:multiLevelType w:val="hybridMultilevel"/>
    <w:tmpl w:val="9D2C445A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248F3"/>
    <w:multiLevelType w:val="hybridMultilevel"/>
    <w:tmpl w:val="BE2E88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A6B88"/>
    <w:multiLevelType w:val="hybridMultilevel"/>
    <w:tmpl w:val="160077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04EA3"/>
    <w:multiLevelType w:val="multilevel"/>
    <w:tmpl w:val="0376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9896B74"/>
    <w:multiLevelType w:val="hybridMultilevel"/>
    <w:tmpl w:val="FDDC8F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70994"/>
    <w:multiLevelType w:val="hybridMultilevel"/>
    <w:tmpl w:val="44C0CE10"/>
    <w:lvl w:ilvl="0" w:tplc="BDF86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E14CD6"/>
    <w:multiLevelType w:val="hybridMultilevel"/>
    <w:tmpl w:val="EAE04E56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0E64FB"/>
    <w:multiLevelType w:val="hybridMultilevel"/>
    <w:tmpl w:val="6652B8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80AC2"/>
    <w:multiLevelType w:val="hybridMultilevel"/>
    <w:tmpl w:val="C1EE5A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E63F6"/>
    <w:multiLevelType w:val="hybridMultilevel"/>
    <w:tmpl w:val="5ADE9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EE1"/>
    <w:multiLevelType w:val="hybridMultilevel"/>
    <w:tmpl w:val="EB188A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C42CF"/>
    <w:multiLevelType w:val="hybridMultilevel"/>
    <w:tmpl w:val="988827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F77B4"/>
    <w:multiLevelType w:val="hybridMultilevel"/>
    <w:tmpl w:val="2A042A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E7ABF"/>
    <w:multiLevelType w:val="hybridMultilevel"/>
    <w:tmpl w:val="67CED8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410E3"/>
    <w:multiLevelType w:val="hybridMultilevel"/>
    <w:tmpl w:val="3014D4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7577B"/>
    <w:multiLevelType w:val="hybridMultilevel"/>
    <w:tmpl w:val="A392C3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91E1D"/>
    <w:multiLevelType w:val="hybridMultilevel"/>
    <w:tmpl w:val="EA100744"/>
    <w:lvl w:ilvl="0" w:tplc="1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1945CC"/>
    <w:multiLevelType w:val="hybridMultilevel"/>
    <w:tmpl w:val="6C42907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83007"/>
    <w:multiLevelType w:val="hybridMultilevel"/>
    <w:tmpl w:val="80F6FE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86590"/>
    <w:multiLevelType w:val="hybridMultilevel"/>
    <w:tmpl w:val="20DC1BC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11070B"/>
    <w:multiLevelType w:val="hybridMultilevel"/>
    <w:tmpl w:val="E40ACE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14"/>
  </w:num>
  <w:num w:numId="9">
    <w:abstractNumId w:val="26"/>
  </w:num>
  <w:num w:numId="10">
    <w:abstractNumId w:val="13"/>
  </w:num>
  <w:num w:numId="11">
    <w:abstractNumId w:val="25"/>
  </w:num>
  <w:num w:numId="12">
    <w:abstractNumId w:val="2"/>
  </w:num>
  <w:num w:numId="13">
    <w:abstractNumId w:val="27"/>
  </w:num>
  <w:num w:numId="14">
    <w:abstractNumId w:val="0"/>
  </w:num>
  <w:num w:numId="15">
    <w:abstractNumId w:val="17"/>
  </w:num>
  <w:num w:numId="16">
    <w:abstractNumId w:val="1"/>
  </w:num>
  <w:num w:numId="17">
    <w:abstractNumId w:val="18"/>
  </w:num>
  <w:num w:numId="18">
    <w:abstractNumId w:val="5"/>
  </w:num>
  <w:num w:numId="19">
    <w:abstractNumId w:val="23"/>
  </w:num>
  <w:num w:numId="20">
    <w:abstractNumId w:val="21"/>
  </w:num>
  <w:num w:numId="21">
    <w:abstractNumId w:val="19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9"/>
  </w:num>
  <w:num w:numId="27">
    <w:abstractNumId w:val="3"/>
  </w:num>
  <w:num w:numId="28">
    <w:abstractNumId w:val="20"/>
  </w:num>
  <w:num w:numId="29">
    <w:abstractNumId w:val="16"/>
  </w:num>
  <w:num w:numId="30">
    <w:abstractNumId w:val="6"/>
  </w:num>
  <w:num w:numId="31">
    <w:abstractNumId w:val="2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2F"/>
    <w:rsid w:val="00011968"/>
    <w:rsid w:val="00020C75"/>
    <w:rsid w:val="00027943"/>
    <w:rsid w:val="00057EBF"/>
    <w:rsid w:val="00075386"/>
    <w:rsid w:val="00087AA0"/>
    <w:rsid w:val="000E0C7B"/>
    <w:rsid w:val="00136A91"/>
    <w:rsid w:val="00157C62"/>
    <w:rsid w:val="00164A13"/>
    <w:rsid w:val="001826B1"/>
    <w:rsid w:val="0018272E"/>
    <w:rsid w:val="001A05EE"/>
    <w:rsid w:val="001A5213"/>
    <w:rsid w:val="001C3A5C"/>
    <w:rsid w:val="001C41B7"/>
    <w:rsid w:val="001E3FFB"/>
    <w:rsid w:val="0020233D"/>
    <w:rsid w:val="00206937"/>
    <w:rsid w:val="00215655"/>
    <w:rsid w:val="00247C70"/>
    <w:rsid w:val="00253A33"/>
    <w:rsid w:val="00270373"/>
    <w:rsid w:val="00273AE7"/>
    <w:rsid w:val="00275191"/>
    <w:rsid w:val="00291B2E"/>
    <w:rsid w:val="002A3141"/>
    <w:rsid w:val="002B14E7"/>
    <w:rsid w:val="003024AB"/>
    <w:rsid w:val="00331500"/>
    <w:rsid w:val="003616C5"/>
    <w:rsid w:val="0039292F"/>
    <w:rsid w:val="003A7B95"/>
    <w:rsid w:val="00414D6C"/>
    <w:rsid w:val="00440094"/>
    <w:rsid w:val="00447B00"/>
    <w:rsid w:val="004610B5"/>
    <w:rsid w:val="004675BB"/>
    <w:rsid w:val="004B0BAF"/>
    <w:rsid w:val="004D2DC5"/>
    <w:rsid w:val="004D2FCB"/>
    <w:rsid w:val="004F30F0"/>
    <w:rsid w:val="004F3B5C"/>
    <w:rsid w:val="00503895"/>
    <w:rsid w:val="005550CF"/>
    <w:rsid w:val="00576BE8"/>
    <w:rsid w:val="00587685"/>
    <w:rsid w:val="005A7C13"/>
    <w:rsid w:val="005D62E2"/>
    <w:rsid w:val="00601A04"/>
    <w:rsid w:val="00647C46"/>
    <w:rsid w:val="00650FD7"/>
    <w:rsid w:val="0065100B"/>
    <w:rsid w:val="00651180"/>
    <w:rsid w:val="006B1E41"/>
    <w:rsid w:val="006F4A06"/>
    <w:rsid w:val="00711EAF"/>
    <w:rsid w:val="007554E1"/>
    <w:rsid w:val="0076107A"/>
    <w:rsid w:val="00764E67"/>
    <w:rsid w:val="0077461A"/>
    <w:rsid w:val="0078252A"/>
    <w:rsid w:val="00797DF3"/>
    <w:rsid w:val="007B303C"/>
    <w:rsid w:val="007C4BE2"/>
    <w:rsid w:val="007E78DE"/>
    <w:rsid w:val="007F7B67"/>
    <w:rsid w:val="00816677"/>
    <w:rsid w:val="00820539"/>
    <w:rsid w:val="008209D6"/>
    <w:rsid w:val="00830700"/>
    <w:rsid w:val="00894977"/>
    <w:rsid w:val="00895665"/>
    <w:rsid w:val="008A5642"/>
    <w:rsid w:val="008A66AC"/>
    <w:rsid w:val="008C0ED8"/>
    <w:rsid w:val="008E2653"/>
    <w:rsid w:val="008E590A"/>
    <w:rsid w:val="008E7963"/>
    <w:rsid w:val="00904ABE"/>
    <w:rsid w:val="00905F27"/>
    <w:rsid w:val="00926499"/>
    <w:rsid w:val="009757C9"/>
    <w:rsid w:val="009761A9"/>
    <w:rsid w:val="009761DA"/>
    <w:rsid w:val="00984D8E"/>
    <w:rsid w:val="009B0021"/>
    <w:rsid w:val="009C0EAC"/>
    <w:rsid w:val="009C1E09"/>
    <w:rsid w:val="009C4019"/>
    <w:rsid w:val="00A0307D"/>
    <w:rsid w:val="00A07052"/>
    <w:rsid w:val="00A40767"/>
    <w:rsid w:val="00A44090"/>
    <w:rsid w:val="00A44D20"/>
    <w:rsid w:val="00A53357"/>
    <w:rsid w:val="00A56657"/>
    <w:rsid w:val="00A7199A"/>
    <w:rsid w:val="00A74EBD"/>
    <w:rsid w:val="00A914D0"/>
    <w:rsid w:val="00AA55D4"/>
    <w:rsid w:val="00AB7A3A"/>
    <w:rsid w:val="00AF6FF5"/>
    <w:rsid w:val="00B073C0"/>
    <w:rsid w:val="00B266A7"/>
    <w:rsid w:val="00B50878"/>
    <w:rsid w:val="00B61784"/>
    <w:rsid w:val="00B61D50"/>
    <w:rsid w:val="00B72EF2"/>
    <w:rsid w:val="00B80B94"/>
    <w:rsid w:val="00B81503"/>
    <w:rsid w:val="00B862C5"/>
    <w:rsid w:val="00B94CEB"/>
    <w:rsid w:val="00BD7AE0"/>
    <w:rsid w:val="00C0150C"/>
    <w:rsid w:val="00CA40DB"/>
    <w:rsid w:val="00CD318D"/>
    <w:rsid w:val="00CF265C"/>
    <w:rsid w:val="00CF6040"/>
    <w:rsid w:val="00D166AF"/>
    <w:rsid w:val="00D53477"/>
    <w:rsid w:val="00D553AD"/>
    <w:rsid w:val="00D7697D"/>
    <w:rsid w:val="00D8186F"/>
    <w:rsid w:val="00D85F62"/>
    <w:rsid w:val="00D90CD9"/>
    <w:rsid w:val="00D92EF4"/>
    <w:rsid w:val="00DD3B83"/>
    <w:rsid w:val="00DF156D"/>
    <w:rsid w:val="00DF43E9"/>
    <w:rsid w:val="00E27587"/>
    <w:rsid w:val="00E309B9"/>
    <w:rsid w:val="00E74A1C"/>
    <w:rsid w:val="00E86FF5"/>
    <w:rsid w:val="00E94D1B"/>
    <w:rsid w:val="00EA4528"/>
    <w:rsid w:val="00EB418C"/>
    <w:rsid w:val="00F036D0"/>
    <w:rsid w:val="00F504EA"/>
    <w:rsid w:val="00F854DD"/>
    <w:rsid w:val="00FC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A662"/>
  <w15:docId w15:val="{E72A42A0-DF02-46C5-B45E-D9E14872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3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2F"/>
  </w:style>
  <w:style w:type="paragraph" w:styleId="Footer">
    <w:name w:val="footer"/>
    <w:basedOn w:val="Normal"/>
    <w:link w:val="FooterChar"/>
    <w:uiPriority w:val="99"/>
    <w:unhideWhenUsed/>
    <w:rsid w:val="00392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2F"/>
  </w:style>
  <w:style w:type="paragraph" w:styleId="BalloonText">
    <w:name w:val="Balloon Text"/>
    <w:basedOn w:val="Normal"/>
    <w:link w:val="BalloonTextChar"/>
    <w:uiPriority w:val="99"/>
    <w:semiHidden/>
    <w:unhideWhenUsed/>
    <w:rsid w:val="0039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3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59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1968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l.ie/policy-hub/sites/policyhub/files/user_media/documents/RecordsManagement%26RetentionPolicy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l.ie/finance/our-services/procureme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14.jpg@01D9CA0F.05E0D08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se.ie/eng/gdpr/data-protection-covid-19/record-retention-policy-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6CC66A34BAB4E9E6B70571A2AF28D" ma:contentTypeVersion="4" ma:contentTypeDescription="Create a new document." ma:contentTypeScope="" ma:versionID="6663fe467652b3d92f9f581ca7657638">
  <xsd:schema xmlns:xsd="http://www.w3.org/2001/XMLSchema" xmlns:xs="http://www.w3.org/2001/XMLSchema" xmlns:p="http://schemas.microsoft.com/office/2006/metadata/properties" xmlns:ns2="bc5a343c-56f6-41e3-a8cf-6c17a61c474d" targetNamespace="http://schemas.microsoft.com/office/2006/metadata/properties" ma:root="true" ma:fieldsID="e8b40cbd4319cf251ffe153d8eda23ff" ns2:_="">
    <xsd:import namespace="bc5a343c-56f6-41e3-a8cf-6c17a61c4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a343c-56f6-41e3-a8cf-6c17a61c4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BD3A4-B294-4445-8934-993E8C6BF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362BB1-BC16-4A2B-8EAF-A5ACD3633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0B429-B7AB-4D17-AD30-31A1065FD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a343c-56f6-41e3-a8cf-6c17a61c4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University of Limerick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Kim O'Mahony</dc:creator>
  <cp:lastModifiedBy>Sean.Costello</cp:lastModifiedBy>
  <cp:revision>2</cp:revision>
  <cp:lastPrinted>2023-04-26T15:39:00Z</cp:lastPrinted>
  <dcterms:created xsi:type="dcterms:W3CDTF">2023-11-10T14:43:00Z</dcterms:created>
  <dcterms:modified xsi:type="dcterms:W3CDTF">2023-11-10T14:43:00Z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0x010100FF36CC66A34BAB4E9E6B70571A2AF28D</vt:lpwstr>
  </property>
  <property fmtid="{D5CDD505-2E9C-101B-9397-08002B2CF9AE}" pid="3" name="Order">
    <vt:r8>1100</vt:r8>
  </property>
</Properties>
</file>