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37ED" w14:textId="6174BF00" w:rsidR="00B20326" w:rsidRPr="00B20326" w:rsidRDefault="00B20326" w:rsidP="00F74E0F">
      <w:pPr>
        <w:rPr>
          <w:rFonts w:ascii="Calibri" w:hAnsi="Calibri" w:cs="Calibri"/>
          <w:b/>
          <w:bCs/>
          <w:sz w:val="22"/>
          <w:szCs w:val="22"/>
        </w:rPr>
      </w:pPr>
      <w:r w:rsidRPr="00B20326">
        <w:rPr>
          <w:rFonts w:ascii="Calibri" w:hAnsi="Calibri" w:cs="Calibri"/>
          <w:b/>
          <w:bCs/>
          <w:sz w:val="22"/>
          <w:szCs w:val="22"/>
        </w:rPr>
        <w:t>Objective</w:t>
      </w:r>
    </w:p>
    <w:p w14:paraId="0E27A71A" w14:textId="15A4F4E8" w:rsidR="00F74E0F" w:rsidRDefault="00F74E0F" w:rsidP="00F74E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Irish Youth Justice Strategy 2021-2027 outlines, as a strategic objective and action, the need to support enhanced collaborative service delivery</w:t>
      </w:r>
      <w:r w:rsidR="0029757B">
        <w:rPr>
          <w:rFonts w:ascii="Calibri" w:hAnsi="Calibri" w:cs="Calibri"/>
          <w:sz w:val="22"/>
          <w:szCs w:val="22"/>
        </w:rPr>
        <w:t xml:space="preserve">, based on a ‘no wrong door’ approach, for </w:t>
      </w:r>
      <w:r w:rsidR="0029757B" w:rsidRPr="00F74E0F">
        <w:rPr>
          <w:rFonts w:ascii="Calibri" w:hAnsi="Calibri" w:cs="Calibri"/>
          <w:sz w:val="22"/>
          <w:szCs w:val="22"/>
        </w:rPr>
        <w:t>young people at risk of being in contact with the justice system</w:t>
      </w:r>
      <w:r w:rsidR="0029757B">
        <w:rPr>
          <w:rFonts w:ascii="Calibri" w:hAnsi="Calibri" w:cs="Calibri"/>
          <w:sz w:val="22"/>
          <w:szCs w:val="22"/>
        </w:rPr>
        <w:t>.</w:t>
      </w:r>
    </w:p>
    <w:p w14:paraId="7F09F79B" w14:textId="09E9AA8F" w:rsidR="0029757B" w:rsidRDefault="0029757B" w:rsidP="00F74E0F">
      <w:pPr>
        <w:rPr>
          <w:rFonts w:ascii="Calibri" w:hAnsi="Calibri" w:cs="Calibri"/>
          <w:sz w:val="22"/>
          <w:szCs w:val="22"/>
        </w:rPr>
      </w:pPr>
      <w:r w:rsidRPr="0029757B">
        <w:rPr>
          <w:rFonts w:ascii="Calibri" w:hAnsi="Calibri" w:cs="Calibri"/>
          <w:sz w:val="22"/>
          <w:szCs w:val="22"/>
        </w:rPr>
        <w:t>The purpose of th</w:t>
      </w:r>
      <w:r>
        <w:rPr>
          <w:rFonts w:ascii="Calibri" w:hAnsi="Calibri" w:cs="Calibri"/>
          <w:sz w:val="22"/>
          <w:szCs w:val="22"/>
        </w:rPr>
        <w:t>is</w:t>
      </w:r>
      <w:r w:rsidRPr="0029757B">
        <w:rPr>
          <w:rFonts w:ascii="Calibri" w:hAnsi="Calibri" w:cs="Calibri"/>
          <w:sz w:val="22"/>
          <w:szCs w:val="22"/>
        </w:rPr>
        <w:t xml:space="preserve"> research is to inform the development of a ‘No Wrong Door’ strategy that can support </w:t>
      </w:r>
      <w:r>
        <w:rPr>
          <w:rFonts w:ascii="Calibri" w:hAnsi="Calibri" w:cs="Calibri"/>
          <w:sz w:val="22"/>
          <w:szCs w:val="22"/>
        </w:rPr>
        <w:t>young people with complex needs</w:t>
      </w:r>
      <w:r w:rsidRPr="0029757B">
        <w:rPr>
          <w:rFonts w:ascii="Calibri" w:hAnsi="Calibri" w:cs="Calibri"/>
          <w:sz w:val="22"/>
          <w:szCs w:val="22"/>
        </w:rPr>
        <w:t xml:space="preserve"> in six local sites in Ireland. These local sites</w:t>
      </w:r>
      <w:r>
        <w:rPr>
          <w:rFonts w:ascii="Calibri" w:hAnsi="Calibri" w:cs="Calibri"/>
          <w:sz w:val="22"/>
          <w:szCs w:val="22"/>
        </w:rPr>
        <w:t>,</w:t>
      </w:r>
      <w:r w:rsidRPr="0029757B">
        <w:rPr>
          <w:rFonts w:ascii="Calibri" w:hAnsi="Calibri" w:cs="Calibri"/>
          <w:sz w:val="22"/>
          <w:szCs w:val="22"/>
        </w:rPr>
        <w:t xml:space="preserve"> chosen by the Department of Justice as trial sites for Joint Commissioning of services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29757B">
        <w:rPr>
          <w:rFonts w:ascii="Calibri" w:hAnsi="Calibri" w:cs="Calibri"/>
          <w:sz w:val="22"/>
          <w:szCs w:val="22"/>
        </w:rPr>
        <w:t xml:space="preserve">are Thurles/North Tipperary, Clare, Limerick City/County, Longford, Ballyfermot/Cherry Orchard (Dublin City) and Cavan/Monaghan. </w:t>
      </w:r>
    </w:p>
    <w:p w14:paraId="3DE15066" w14:textId="03436BC4" w:rsidR="00F74E0F" w:rsidRPr="00F74E0F" w:rsidRDefault="0029757B" w:rsidP="00F74E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F74E0F" w:rsidRPr="00F74E0F">
        <w:rPr>
          <w:rFonts w:ascii="Calibri" w:hAnsi="Calibri" w:cs="Calibri"/>
          <w:sz w:val="22"/>
          <w:szCs w:val="22"/>
        </w:rPr>
        <w:t xml:space="preserve">specific research objectives are: </w:t>
      </w:r>
    </w:p>
    <w:p w14:paraId="07D627F5" w14:textId="4DA5E4AA" w:rsidR="00F74E0F" w:rsidRPr="0029757B" w:rsidRDefault="00F74E0F" w:rsidP="0029757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9757B">
        <w:rPr>
          <w:rFonts w:ascii="Calibri" w:hAnsi="Calibri" w:cs="Calibri"/>
          <w:sz w:val="22"/>
          <w:szCs w:val="22"/>
        </w:rPr>
        <w:t>To provide a description of the characteristics of young people with complex needs, including an understanding of the context of their circumstances and prior engagement with services.</w:t>
      </w:r>
    </w:p>
    <w:p w14:paraId="3DC79FBF" w14:textId="2459A6E8" w:rsidR="00F74E0F" w:rsidRPr="0029757B" w:rsidRDefault="00F74E0F" w:rsidP="0029757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9757B">
        <w:rPr>
          <w:rFonts w:ascii="Calibri" w:hAnsi="Calibri" w:cs="Calibri"/>
          <w:sz w:val="22"/>
          <w:szCs w:val="22"/>
        </w:rPr>
        <w:t>To provide an understanding of the complexity of the service provision landscape.</w:t>
      </w:r>
    </w:p>
    <w:p w14:paraId="2E482FA4" w14:textId="51B12CB5" w:rsidR="00F74E0F" w:rsidRPr="0029757B" w:rsidRDefault="00F74E0F" w:rsidP="0029757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9757B">
        <w:rPr>
          <w:rFonts w:ascii="Calibri" w:hAnsi="Calibri" w:cs="Calibri"/>
          <w:sz w:val="22"/>
          <w:szCs w:val="22"/>
        </w:rPr>
        <w:t>To provide an understanding of No Wrong Door in the context of meeting the needs of young people with complex needs.</w:t>
      </w:r>
    </w:p>
    <w:p w14:paraId="4A351E9F" w14:textId="55FE5BF6" w:rsidR="00F74E0F" w:rsidRDefault="00F74E0F" w:rsidP="0029757B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9757B">
        <w:rPr>
          <w:rFonts w:ascii="Calibri" w:hAnsi="Calibri" w:cs="Calibri"/>
          <w:sz w:val="22"/>
          <w:szCs w:val="22"/>
        </w:rPr>
        <w:t xml:space="preserve">To develop a response strategy and implementation plan co-produced with </w:t>
      </w:r>
      <w:r w:rsidR="0029757B">
        <w:rPr>
          <w:rFonts w:ascii="Calibri" w:hAnsi="Calibri" w:cs="Calibri"/>
          <w:sz w:val="22"/>
          <w:szCs w:val="22"/>
        </w:rPr>
        <w:t xml:space="preserve">local </w:t>
      </w:r>
      <w:r w:rsidRPr="0029757B">
        <w:rPr>
          <w:rFonts w:ascii="Calibri" w:hAnsi="Calibri" w:cs="Calibri"/>
          <w:sz w:val="22"/>
          <w:szCs w:val="22"/>
        </w:rPr>
        <w:t>stakeholders</w:t>
      </w:r>
      <w:r w:rsidR="0029757B">
        <w:rPr>
          <w:rFonts w:ascii="Calibri" w:hAnsi="Calibri" w:cs="Calibri"/>
          <w:sz w:val="22"/>
          <w:szCs w:val="22"/>
        </w:rPr>
        <w:t xml:space="preserve"> and service providers</w:t>
      </w:r>
      <w:r w:rsidRPr="0029757B">
        <w:rPr>
          <w:rFonts w:ascii="Calibri" w:hAnsi="Calibri" w:cs="Calibri"/>
          <w:sz w:val="22"/>
          <w:szCs w:val="22"/>
        </w:rPr>
        <w:t xml:space="preserve"> linked to the needs identified in the research.</w:t>
      </w:r>
    </w:p>
    <w:p w14:paraId="11FF24A3" w14:textId="229EA8D2" w:rsidR="00B20326" w:rsidRPr="00B20326" w:rsidRDefault="00B20326" w:rsidP="00B20326">
      <w:pPr>
        <w:rPr>
          <w:rFonts w:ascii="Calibri" w:hAnsi="Calibri" w:cs="Calibri"/>
          <w:b/>
          <w:bCs/>
          <w:sz w:val="22"/>
          <w:szCs w:val="22"/>
        </w:rPr>
      </w:pPr>
      <w:r w:rsidRPr="00B20326">
        <w:rPr>
          <w:rFonts w:ascii="Calibri" w:hAnsi="Calibri" w:cs="Calibri"/>
          <w:b/>
          <w:bCs/>
          <w:sz w:val="22"/>
          <w:szCs w:val="22"/>
        </w:rPr>
        <w:t>Methods</w:t>
      </w:r>
    </w:p>
    <w:p w14:paraId="1BCB5A16" w14:textId="1C86ABEF" w:rsidR="00274AF9" w:rsidRDefault="0029757B" w:rsidP="00274AF9">
      <w:pPr>
        <w:rPr>
          <w:rFonts w:ascii="Calibri" w:hAnsi="Calibri" w:cs="Calibri"/>
          <w:sz w:val="22"/>
          <w:szCs w:val="22"/>
        </w:rPr>
      </w:pPr>
      <w:r w:rsidRPr="0029757B"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z w:val="22"/>
          <w:szCs w:val="22"/>
        </w:rPr>
        <w:t>e</w:t>
      </w:r>
      <w:r w:rsidRPr="0029757B">
        <w:rPr>
          <w:rFonts w:ascii="Calibri" w:hAnsi="Calibri" w:cs="Calibri"/>
          <w:sz w:val="22"/>
          <w:szCs w:val="22"/>
        </w:rPr>
        <w:t xml:space="preserve"> research is arranged in two </w:t>
      </w:r>
      <w:r w:rsidR="00331A1E">
        <w:rPr>
          <w:rFonts w:ascii="Calibri" w:hAnsi="Calibri" w:cs="Calibri"/>
          <w:sz w:val="22"/>
          <w:szCs w:val="22"/>
        </w:rPr>
        <w:t xml:space="preserve">phases.  </w:t>
      </w:r>
      <w:r w:rsidR="00116970">
        <w:rPr>
          <w:rFonts w:ascii="Calibri" w:hAnsi="Calibri" w:cs="Calibri"/>
          <w:sz w:val="22"/>
          <w:szCs w:val="22"/>
        </w:rPr>
        <w:t>In Phase 1, s</w:t>
      </w:r>
      <w:r w:rsidR="00274AF9" w:rsidRPr="00274AF9">
        <w:rPr>
          <w:rFonts w:ascii="Calibri" w:hAnsi="Calibri" w:cs="Calibri"/>
          <w:sz w:val="22"/>
          <w:szCs w:val="22"/>
        </w:rPr>
        <w:t>emi-structured</w:t>
      </w:r>
      <w:r w:rsidR="00116970">
        <w:rPr>
          <w:rFonts w:ascii="Calibri" w:hAnsi="Calibri" w:cs="Calibri"/>
          <w:sz w:val="22"/>
          <w:szCs w:val="22"/>
        </w:rPr>
        <w:t xml:space="preserve"> qualitative</w:t>
      </w:r>
      <w:r w:rsidR="00274AF9" w:rsidRPr="00274AF9">
        <w:rPr>
          <w:rFonts w:ascii="Calibri" w:hAnsi="Calibri" w:cs="Calibri"/>
          <w:sz w:val="22"/>
          <w:szCs w:val="22"/>
        </w:rPr>
        <w:t xml:space="preserve"> interviews </w:t>
      </w:r>
      <w:r w:rsidR="00274AF9">
        <w:rPr>
          <w:rFonts w:ascii="Calibri" w:hAnsi="Calibri" w:cs="Calibri"/>
          <w:sz w:val="22"/>
          <w:szCs w:val="22"/>
        </w:rPr>
        <w:t xml:space="preserve">will be undertaken </w:t>
      </w:r>
      <w:r w:rsidR="00274AF9" w:rsidRPr="00274AF9">
        <w:rPr>
          <w:rFonts w:ascii="Calibri" w:hAnsi="Calibri" w:cs="Calibri"/>
          <w:sz w:val="22"/>
          <w:szCs w:val="22"/>
        </w:rPr>
        <w:t>in each of the selected sites</w:t>
      </w:r>
      <w:r w:rsidR="00274AF9">
        <w:rPr>
          <w:rFonts w:ascii="Calibri" w:hAnsi="Calibri" w:cs="Calibri"/>
          <w:sz w:val="22"/>
          <w:szCs w:val="22"/>
        </w:rPr>
        <w:t>,</w:t>
      </w:r>
      <w:r w:rsidR="00274AF9" w:rsidRPr="00274AF9">
        <w:rPr>
          <w:rFonts w:ascii="Calibri" w:hAnsi="Calibri" w:cs="Calibri"/>
          <w:sz w:val="22"/>
          <w:szCs w:val="22"/>
        </w:rPr>
        <w:t xml:space="preserve"> with deliberately sampled practitioners working with the </w:t>
      </w:r>
      <w:r w:rsidR="00DA0313">
        <w:rPr>
          <w:rFonts w:ascii="Calibri" w:hAnsi="Calibri" w:cs="Calibri"/>
          <w:sz w:val="22"/>
          <w:szCs w:val="22"/>
        </w:rPr>
        <w:t xml:space="preserve">complex </w:t>
      </w:r>
      <w:r w:rsidR="00274AF9" w:rsidRPr="00274AF9">
        <w:rPr>
          <w:rFonts w:ascii="Calibri" w:hAnsi="Calibri" w:cs="Calibri"/>
          <w:sz w:val="22"/>
          <w:szCs w:val="22"/>
        </w:rPr>
        <w:t>cases</w:t>
      </w:r>
      <w:r w:rsidR="00274AF9">
        <w:rPr>
          <w:rFonts w:ascii="Calibri" w:hAnsi="Calibri" w:cs="Calibri"/>
          <w:sz w:val="22"/>
          <w:szCs w:val="22"/>
        </w:rPr>
        <w:t>, to explore the causes, factors, and implications of the complexity as experienced in each site location</w:t>
      </w:r>
      <w:r w:rsidR="00116970">
        <w:rPr>
          <w:rFonts w:ascii="Calibri" w:hAnsi="Calibri" w:cs="Calibri"/>
          <w:sz w:val="22"/>
          <w:szCs w:val="22"/>
        </w:rPr>
        <w:t>.</w:t>
      </w:r>
      <w:r w:rsidR="00D1229D">
        <w:rPr>
          <w:rFonts w:ascii="Calibri" w:hAnsi="Calibri" w:cs="Calibri"/>
          <w:sz w:val="22"/>
          <w:szCs w:val="22"/>
        </w:rPr>
        <w:t xml:space="preserve">  The interviews will explore complexity from 2 perspectives – complexity of </w:t>
      </w:r>
      <w:r w:rsidR="007A4085">
        <w:rPr>
          <w:rFonts w:ascii="Calibri" w:hAnsi="Calibri" w:cs="Calibri"/>
          <w:sz w:val="22"/>
          <w:szCs w:val="22"/>
        </w:rPr>
        <w:t>individual circumstances and complexity in the service provision landscape.</w:t>
      </w:r>
    </w:p>
    <w:p w14:paraId="067F4F9C" w14:textId="25E62A18" w:rsidR="0029757B" w:rsidRPr="0029757B" w:rsidRDefault="00274AF9" w:rsidP="002975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Phase 2 of the study, </w:t>
      </w:r>
      <w:r w:rsidRPr="0029757B">
        <w:rPr>
          <w:rFonts w:ascii="Calibri" w:hAnsi="Calibri" w:cs="Calibri"/>
          <w:sz w:val="22"/>
          <w:szCs w:val="22"/>
        </w:rPr>
        <w:t>a series of discussion events</w:t>
      </w:r>
      <w:r>
        <w:rPr>
          <w:rFonts w:ascii="Calibri" w:hAnsi="Calibri" w:cs="Calibri"/>
          <w:sz w:val="22"/>
          <w:szCs w:val="22"/>
        </w:rPr>
        <w:t xml:space="preserve"> will be conducted in each site location</w:t>
      </w:r>
      <w:r w:rsidRPr="0029757B">
        <w:rPr>
          <w:rFonts w:ascii="Calibri" w:hAnsi="Calibri" w:cs="Calibri"/>
          <w:sz w:val="22"/>
          <w:szCs w:val="22"/>
        </w:rPr>
        <w:t xml:space="preserve"> with a wider group of service providers and practitioners. The discussion</w:t>
      </w:r>
      <w:r>
        <w:rPr>
          <w:rFonts w:ascii="Calibri" w:hAnsi="Calibri" w:cs="Calibri"/>
          <w:sz w:val="22"/>
          <w:szCs w:val="22"/>
        </w:rPr>
        <w:t>s</w:t>
      </w:r>
      <w:r w:rsidRPr="0029757B">
        <w:rPr>
          <w:rFonts w:ascii="Calibri" w:hAnsi="Calibri" w:cs="Calibri"/>
          <w:sz w:val="22"/>
          <w:szCs w:val="22"/>
        </w:rPr>
        <w:t xml:space="preserve"> will be centred on the findings of Phase 1</w:t>
      </w:r>
      <w:r w:rsidR="00331A1E">
        <w:rPr>
          <w:rFonts w:ascii="Calibri" w:hAnsi="Calibri" w:cs="Calibri"/>
          <w:sz w:val="22"/>
          <w:szCs w:val="22"/>
        </w:rPr>
        <w:t xml:space="preserve"> </w:t>
      </w:r>
      <w:r w:rsidRPr="0029757B">
        <w:rPr>
          <w:rFonts w:ascii="Calibri" w:hAnsi="Calibri" w:cs="Calibri"/>
          <w:sz w:val="22"/>
          <w:szCs w:val="22"/>
        </w:rPr>
        <w:t xml:space="preserve">and will enable a wider cohort of relevant service providers to analyse the key themes identified in Phase 1 in relation to what complexity looks like </w:t>
      </w:r>
      <w:r>
        <w:rPr>
          <w:rFonts w:ascii="Calibri" w:hAnsi="Calibri" w:cs="Calibri"/>
          <w:sz w:val="22"/>
          <w:szCs w:val="22"/>
        </w:rPr>
        <w:t xml:space="preserve">for </w:t>
      </w:r>
      <w:r w:rsidRPr="0029757B">
        <w:rPr>
          <w:rFonts w:ascii="Calibri" w:hAnsi="Calibri" w:cs="Calibri"/>
          <w:sz w:val="22"/>
          <w:szCs w:val="22"/>
        </w:rPr>
        <w:t xml:space="preserve">young people and their families, the service provision landscape, and how services can collaboratively respond </w:t>
      </w:r>
      <w:proofErr w:type="gramStart"/>
      <w:r w:rsidRPr="0029757B">
        <w:rPr>
          <w:rFonts w:ascii="Calibri" w:hAnsi="Calibri" w:cs="Calibri"/>
          <w:sz w:val="22"/>
          <w:szCs w:val="22"/>
        </w:rPr>
        <w:t>in order to</w:t>
      </w:r>
      <w:proofErr w:type="gramEnd"/>
      <w:r w:rsidRPr="0029757B">
        <w:rPr>
          <w:rFonts w:ascii="Calibri" w:hAnsi="Calibri" w:cs="Calibri"/>
          <w:sz w:val="22"/>
          <w:szCs w:val="22"/>
        </w:rPr>
        <w:t xml:space="preserve"> improve outcomes for young people with complex needs.  The outcome of the discussion events will inform the development of a co-produced multi-agency/multi-disciplinary response</w:t>
      </w:r>
      <w:r>
        <w:rPr>
          <w:rFonts w:ascii="Calibri" w:hAnsi="Calibri" w:cs="Calibri"/>
          <w:sz w:val="22"/>
          <w:szCs w:val="22"/>
        </w:rPr>
        <w:t>s</w:t>
      </w:r>
      <w:r w:rsidRPr="0029757B">
        <w:rPr>
          <w:rFonts w:ascii="Calibri" w:hAnsi="Calibri" w:cs="Calibri"/>
          <w:sz w:val="22"/>
          <w:szCs w:val="22"/>
        </w:rPr>
        <w:t xml:space="preserve"> and implementation strateg</w:t>
      </w:r>
      <w:r>
        <w:rPr>
          <w:rFonts w:ascii="Calibri" w:hAnsi="Calibri" w:cs="Calibri"/>
          <w:sz w:val="22"/>
          <w:szCs w:val="22"/>
        </w:rPr>
        <w:t>ies</w:t>
      </w:r>
      <w:r w:rsidRPr="0029757B">
        <w:rPr>
          <w:rFonts w:ascii="Calibri" w:hAnsi="Calibri" w:cs="Calibri"/>
          <w:sz w:val="22"/>
          <w:szCs w:val="22"/>
        </w:rPr>
        <w:t xml:space="preserve"> linked to the needs identified throughout the process</w:t>
      </w:r>
      <w:r>
        <w:rPr>
          <w:rFonts w:ascii="Calibri" w:hAnsi="Calibri" w:cs="Calibri"/>
          <w:sz w:val="22"/>
          <w:szCs w:val="22"/>
        </w:rPr>
        <w:t>.</w:t>
      </w:r>
    </w:p>
    <w:sectPr w:rsidR="0029757B" w:rsidRPr="0029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D5C6" w14:textId="77777777" w:rsidR="00101829" w:rsidRDefault="00101829" w:rsidP="0029757B">
      <w:pPr>
        <w:spacing w:after="0" w:line="240" w:lineRule="auto"/>
      </w:pPr>
      <w:r>
        <w:separator/>
      </w:r>
    </w:p>
  </w:endnote>
  <w:endnote w:type="continuationSeparator" w:id="0">
    <w:p w14:paraId="68B7C0E9" w14:textId="77777777" w:rsidR="00101829" w:rsidRDefault="00101829" w:rsidP="0029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297FE" w14:textId="77777777" w:rsidR="00B20326" w:rsidRDefault="00B20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E6548" w14:textId="77777777" w:rsidR="00B20326" w:rsidRDefault="00B20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C6A0" w14:textId="77777777" w:rsidR="00B20326" w:rsidRDefault="00B20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EBAF1" w14:textId="77777777" w:rsidR="00101829" w:rsidRDefault="00101829" w:rsidP="0029757B">
      <w:pPr>
        <w:spacing w:after="0" w:line="240" w:lineRule="auto"/>
      </w:pPr>
      <w:r>
        <w:separator/>
      </w:r>
    </w:p>
  </w:footnote>
  <w:footnote w:type="continuationSeparator" w:id="0">
    <w:p w14:paraId="1A455500" w14:textId="77777777" w:rsidR="00101829" w:rsidRDefault="00101829" w:rsidP="00297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FD5D" w14:textId="77777777" w:rsidR="00B20326" w:rsidRDefault="00B20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4772" w14:textId="5B72DE29" w:rsidR="00B20326" w:rsidRDefault="00B20326">
    <w:pPr>
      <w:pStyle w:val="Header"/>
    </w:pPr>
    <w:r>
      <w:t>Helen Fitzgerald</w:t>
    </w:r>
  </w:p>
  <w:p w14:paraId="03014DA2" w14:textId="74204932" w:rsidR="00B20326" w:rsidRDefault="00B20326">
    <w:pPr>
      <w:pStyle w:val="Header"/>
    </w:pPr>
    <w:r>
      <w:t xml:space="preserve">Title: </w:t>
    </w:r>
    <w:r w:rsidRPr="00B20326">
      <w:rPr>
        <w:i/>
        <w:iCs/>
      </w:rPr>
      <w:t>No Wrong Door - Supporting Young People with Complex Needs</w:t>
    </w:r>
  </w:p>
  <w:p w14:paraId="78D8B969" w14:textId="77777777" w:rsidR="00B20326" w:rsidRDefault="00B20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61B9" w14:textId="77777777" w:rsidR="00B20326" w:rsidRDefault="00B20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E4B"/>
    <w:multiLevelType w:val="hybridMultilevel"/>
    <w:tmpl w:val="8070E2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1E21"/>
    <w:multiLevelType w:val="hybridMultilevel"/>
    <w:tmpl w:val="C0E820A0"/>
    <w:lvl w:ilvl="0" w:tplc="7BF86EB0">
      <w:numFmt w:val="bullet"/>
      <w:lvlText w:val=""/>
      <w:lvlJc w:val="left"/>
      <w:pPr>
        <w:ind w:left="1080" w:hanging="720"/>
      </w:pPr>
      <w:rPr>
        <w:rFonts w:ascii="Symbol" w:eastAsiaTheme="minorEastAsia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2BE8"/>
    <w:multiLevelType w:val="hybridMultilevel"/>
    <w:tmpl w:val="3ED290D6"/>
    <w:lvl w:ilvl="0" w:tplc="E8C42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41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EC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C9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29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8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22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E6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C3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A827BE"/>
    <w:multiLevelType w:val="hybridMultilevel"/>
    <w:tmpl w:val="CEF41C5E"/>
    <w:lvl w:ilvl="0" w:tplc="7BF86EB0">
      <w:numFmt w:val="bullet"/>
      <w:lvlText w:val=""/>
      <w:lvlJc w:val="left"/>
      <w:pPr>
        <w:ind w:left="720" w:hanging="720"/>
      </w:pPr>
      <w:rPr>
        <w:rFonts w:ascii="Symbol" w:eastAsiaTheme="minorEastAsia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972684">
    <w:abstractNumId w:val="2"/>
  </w:num>
  <w:num w:numId="2" w16cid:durableId="1740129324">
    <w:abstractNumId w:val="0"/>
  </w:num>
  <w:num w:numId="3" w16cid:durableId="1396126374">
    <w:abstractNumId w:val="1"/>
  </w:num>
  <w:num w:numId="4" w16cid:durableId="797652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F"/>
    <w:rsid w:val="00101829"/>
    <w:rsid w:val="00116970"/>
    <w:rsid w:val="00135D87"/>
    <w:rsid w:val="001A5C84"/>
    <w:rsid w:val="002522E1"/>
    <w:rsid w:val="00274AF9"/>
    <w:rsid w:val="0029757B"/>
    <w:rsid w:val="00331A1E"/>
    <w:rsid w:val="004B3FBF"/>
    <w:rsid w:val="00501619"/>
    <w:rsid w:val="007A4085"/>
    <w:rsid w:val="008133EF"/>
    <w:rsid w:val="008200F8"/>
    <w:rsid w:val="0088065F"/>
    <w:rsid w:val="009145AF"/>
    <w:rsid w:val="00A236C4"/>
    <w:rsid w:val="00B20326"/>
    <w:rsid w:val="00C31149"/>
    <w:rsid w:val="00D1229D"/>
    <w:rsid w:val="00DA0313"/>
    <w:rsid w:val="00F74E0F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61030"/>
  <w15:chartTrackingRefBased/>
  <w15:docId w15:val="{2AAA8944-DAF9-421D-8DD2-7E08536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E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326"/>
  </w:style>
  <w:style w:type="paragraph" w:styleId="Footer">
    <w:name w:val="footer"/>
    <w:basedOn w:val="Normal"/>
    <w:link w:val="FooterChar"/>
    <w:uiPriority w:val="99"/>
    <w:unhideWhenUsed/>
    <w:rsid w:val="00B2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2155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Helen.M.Fitzgerald</dc:creator>
  <cp:keywords/>
  <dc:description/>
  <cp:lastModifiedBy>Denia.Claudino</cp:lastModifiedBy>
  <cp:revision>2</cp:revision>
  <dcterms:created xsi:type="dcterms:W3CDTF">2024-12-04T12:40:00Z</dcterms:created>
  <dcterms:modified xsi:type="dcterms:W3CDTF">2024-12-04T12:40:00Z</dcterms:modified>
</cp:coreProperties>
</file>